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01.06.2024 N 750</w:t>
              <w:br/>
              <w:t xml:space="preserve">(ред. от 30.12.2025)</w:t>
              <w:br/>
              <w:t xml:space="preserve">"О проведении эксперимента в отношении отдельных групп товаров, в том числе товаров в упаковке"</w:t>
              <w:br/>
              <w:t xml:space="preserve">(вместе с "Положением о проведении эксперимента в отношении отдельных групп товаров, в том числе товаров в упаковке")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18.08.2026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 июня 2024 г. N 750</w:t>
      </w:r>
    </w:p>
    <w:p>
      <w:pPr>
        <w:pStyle w:val="2"/>
        <w:jc w:val="center"/>
      </w:pPr>
      <w:r>
        <w:rPr>
          <w:sz w:val="24"/>
        </w:rPr>
      </w:r>
    </w:p>
    <w:p>
      <w:pPr>
        <w:pStyle w:val="2"/>
        <w:jc w:val="center"/>
      </w:pPr>
      <w:r>
        <w:rPr>
          <w:sz w:val="24"/>
        </w:rPr>
        <w:t xml:space="preserve">О ПРОВЕДЕНИИ</w:t>
      </w:r>
    </w:p>
    <w:p>
      <w:pPr>
        <w:pStyle w:val="2"/>
        <w:jc w:val="center"/>
      </w:pPr>
      <w:r>
        <w:rPr>
          <w:sz w:val="24"/>
        </w:rPr>
        <w:t xml:space="preserve">ЭКСПЕРИМЕНТА В ОТНОШЕНИИ ОТДЕЛЬНЫХ ГРУПП ТОВАРОВ,</w:t>
      </w:r>
    </w:p>
    <w:p>
      <w:pPr>
        <w:pStyle w:val="2"/>
        <w:jc w:val="center"/>
      </w:pPr>
      <w:r>
        <w:rPr>
          <w:sz w:val="24"/>
        </w:rPr>
        <w:t xml:space="preserve">В ТОМ ЧИСЛЕ ТОВАРОВ В УПАКОВКЕ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30.12.2024 </w:t>
            </w:r>
            <w:r>
              <w:rPr>
                <w:sz w:val="24"/>
                <w:color w:val="392c69"/>
              </w:rPr>
              <w:t xml:space="preserve">N 1990</w:t>
            </w:r>
            <w:r>
              <w:rPr>
                <w:sz w:val="24"/>
                <w:color w:val="392c69"/>
              </w:rPr>
              <w:t xml:space="preserve">,</w:t>
            </w:r>
          </w:p>
          <w:p>
            <w:pPr>
              <w:pStyle w:val="0"/>
              <w:jc w:val="center"/>
            </w:pPr>
            <w:r>
              <w:rPr>
                <w:sz w:val="24"/>
                <w:color w:val="392c69"/>
              </w:rPr>
              <w:t xml:space="preserve">от 30.12.2025 </w:t>
            </w:r>
            <w:r>
              <w:rPr>
                <w:sz w:val="24"/>
                <w:color w:val="392c69"/>
              </w:rPr>
              <w:t xml:space="preserve">N 2228</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В соответствии со </w:t>
      </w:r>
      <w:r>
        <w:rPr>
          <w:sz w:val="24"/>
        </w:rPr>
        <w:t xml:space="preserve">статьей 7</w:t>
      </w:r>
      <w:r>
        <w:rPr>
          <w:sz w:val="24"/>
        </w:rPr>
        <w:t xml:space="preserve"> Федерального закона от 4 августа 2023 г. N 451-ФЗ "О внесении изменений в Федеральный закон "Об отходах производства и потребления" и отдельные законодательные акты Российской Федерации" Правительство Российской Федерации постановляет:</w:t>
      </w:r>
    </w:p>
    <w:p>
      <w:pPr>
        <w:pStyle w:val="0"/>
        <w:spacing w:before="240" w:lineRule="auto"/>
        <w:ind w:firstLine="540"/>
        <w:jc w:val="both"/>
      </w:pPr>
      <w:r>
        <w:rPr>
          <w:sz w:val="24"/>
        </w:rPr>
        <w:t xml:space="preserve">1. Провести с 1 сентября 2024 г. по 31 декабря 2027 г. на территории Российской Федерации эксперимент в отношении отдельных групп товаров, в том числе товаров в упаковке.</w:t>
      </w:r>
    </w:p>
    <w:p>
      <w:pPr>
        <w:pStyle w:val="0"/>
        <w:jc w:val="both"/>
      </w:pPr>
      <w:r>
        <w:rPr>
          <w:sz w:val="24"/>
        </w:rPr>
        <w:t xml:space="preserve">(в ред. </w:t>
      </w:r>
      <w:r>
        <w:rPr>
          <w:sz w:val="24"/>
        </w:rPr>
        <w:t xml:space="preserve">Постановления</w:t>
      </w:r>
      <w:r>
        <w:rPr>
          <w:sz w:val="24"/>
        </w:rPr>
        <w:t xml:space="preserve"> Правительства РФ от 30.12.2025 N 2228)</w:t>
      </w:r>
    </w:p>
    <w:p>
      <w:pPr>
        <w:pStyle w:val="0"/>
        <w:spacing w:before="240" w:lineRule="auto"/>
        <w:ind w:firstLine="540"/>
        <w:jc w:val="both"/>
      </w:pPr>
      <w:r>
        <w:rPr>
          <w:sz w:val="24"/>
        </w:rPr>
        <w:t xml:space="preserve">2. Утвердить прилагаемое </w:t>
      </w:r>
      <w:hyperlink w:history="0" w:anchor="P38" w:tooltip="ПОЛОЖЕНИЕ">
        <w:r>
          <w:rPr>
            <w:sz w:val="24"/>
            <w:color w:val="0000ff"/>
          </w:rPr>
          <w:t xml:space="preserve">Положение</w:t>
        </w:r>
      </w:hyperlink>
      <w:r>
        <w:rPr>
          <w:sz w:val="24"/>
        </w:rPr>
        <w:t xml:space="preserve"> о проведении эксперимента в отношении отдельных групп товаров, в том числе товаров в упаковке.</w:t>
      </w:r>
    </w:p>
    <w:p>
      <w:pPr>
        <w:pStyle w:val="0"/>
        <w:spacing w:before="240" w:lineRule="auto"/>
        <w:ind w:firstLine="540"/>
        <w:jc w:val="both"/>
      </w:pPr>
      <w:r>
        <w:rPr>
          <w:sz w:val="24"/>
        </w:rPr>
        <w:t xml:space="preserve">3. До 1 сентября 2024 г. Министерству природных ресурсов и экологии Российской Федерации обеспечить готовность единой федеральной государственной информационной системы учета отходов от использования товаров к приему информации и документов, представляемых участниками эксперимента в соответствии с </w:t>
      </w:r>
      <w:hyperlink w:history="0" w:anchor="P38" w:tooltip="ПОЛОЖЕНИЕ">
        <w:r>
          <w:rPr>
            <w:sz w:val="24"/>
            <w:color w:val="0000ff"/>
          </w:rPr>
          <w:t xml:space="preserve">Положением</w:t>
        </w:r>
      </w:hyperlink>
      <w:r>
        <w:rPr>
          <w:sz w:val="24"/>
        </w:rPr>
        <w:t xml:space="preserve">, утвержденным настоящим постановлением.</w:t>
      </w:r>
    </w:p>
    <w:p>
      <w:pPr>
        <w:pStyle w:val="0"/>
        <w:spacing w:before="240" w:lineRule="auto"/>
        <w:ind w:firstLine="540"/>
        <w:jc w:val="both"/>
      </w:pPr>
      <w:r>
        <w:rPr>
          <w:sz w:val="24"/>
        </w:rPr>
        <w:t xml:space="preserve">4. До 1 сентября 2024 г. публично-правовой компании по формированию комплексной системы обращения с твердыми коммунальными отходами "Российский экологический оператор" заключить с Федеральной таможенной службой соглашение об информационном взаимодействии в целях реализации </w:t>
      </w:r>
      <w:hyperlink w:history="0" w:anchor="P38" w:tooltip="ПОЛОЖЕНИЕ">
        <w:r>
          <w:rPr>
            <w:sz w:val="24"/>
            <w:color w:val="0000ff"/>
          </w:rPr>
          <w:t xml:space="preserve">Положения</w:t>
        </w:r>
      </w:hyperlink>
      <w:r>
        <w:rPr>
          <w:sz w:val="24"/>
        </w:rPr>
        <w:t xml:space="preserve">, утвержденного настоящим постановлением.</w:t>
      </w:r>
    </w:p>
    <w:p>
      <w:pPr>
        <w:pStyle w:val="0"/>
        <w:spacing w:before="240" w:lineRule="auto"/>
        <w:ind w:firstLine="540"/>
        <w:jc w:val="both"/>
      </w:pPr>
      <w:r>
        <w:rPr>
          <w:sz w:val="24"/>
        </w:rPr>
        <w:t xml:space="preserve">5. Установить, что в отношении товаров, упаковки, включенных в </w:t>
      </w:r>
      <w:hyperlink w:history="0" w:anchor="P123" w:tooltip="ПЕРЕЧЕНЬ">
        <w:r>
          <w:rPr>
            <w:sz w:val="24"/>
            <w:color w:val="0000ff"/>
          </w:rPr>
          <w:t xml:space="preserve">перечень</w:t>
        </w:r>
      </w:hyperlink>
      <w:r>
        <w:rPr>
          <w:sz w:val="24"/>
        </w:rPr>
        <w:t xml:space="preserve"> отдельных видов товаров, в том числе товаров в упаковке, участвующих в эксперименте, согласно приложению N 1 к Положению, утвержденному настоящим постановлением, и ввезенных с 1 января 2024 г. по 31 декабря 2027 г. в Российскую Федерацию из государств, не являющихся членами Евразийского экономического союза, импортерами товаров за отчетные периоды 2024, 2025, 2026 и 2027 годов, представляются в срок, предусмотренный </w:t>
      </w:r>
      <w:r>
        <w:rPr>
          <w:sz w:val="24"/>
        </w:rPr>
        <w:t xml:space="preserve">пунктом 17 статьи 24.2-1</w:t>
      </w:r>
      <w:r>
        <w:rPr>
          <w:sz w:val="24"/>
        </w:rPr>
        <w:t xml:space="preserve"> Федерального закона "Об отходах производства и потребления":</w:t>
      </w:r>
    </w:p>
    <w:p>
      <w:pPr>
        <w:pStyle w:val="0"/>
        <w:jc w:val="both"/>
      </w:pPr>
      <w:r>
        <w:rPr>
          <w:sz w:val="24"/>
        </w:rPr>
        <w:t xml:space="preserve">(в ред. </w:t>
      </w:r>
      <w:r>
        <w:rPr>
          <w:sz w:val="24"/>
        </w:rPr>
        <w:t xml:space="preserve">Постановления</w:t>
      </w:r>
      <w:r>
        <w:rPr>
          <w:sz w:val="24"/>
        </w:rPr>
        <w:t xml:space="preserve"> Правительства РФ от 30.12.2025 N 2228)</w:t>
      </w:r>
    </w:p>
    <w:p>
      <w:pPr>
        <w:pStyle w:val="0"/>
        <w:spacing w:before="240" w:lineRule="auto"/>
        <w:ind w:firstLine="540"/>
        <w:jc w:val="both"/>
      </w:pPr>
      <w:hyperlink w:history="0" w:anchor="P199" w:tooltip="ОТЧЕТНОСТЬ">
        <w:r>
          <w:rPr>
            <w:sz w:val="24"/>
            <w:color w:val="0000ff"/>
          </w:rPr>
          <w:t xml:space="preserve">отчетность</w:t>
        </w:r>
      </w:hyperlink>
      <w:r>
        <w:rPr>
          <w:sz w:val="24"/>
        </w:rPr>
        <w:t xml:space="preserve"> о массе товаров, упаковки, ввезенных из государств, не являющихся членами Евразийского экономического союза, по форме согласно приложению N 2 к Положению, утвержденному настоящим постановлением;</w:t>
      </w:r>
    </w:p>
    <w:p>
      <w:pPr>
        <w:pStyle w:val="0"/>
        <w:spacing w:before="240" w:lineRule="auto"/>
        <w:ind w:firstLine="540"/>
        <w:jc w:val="both"/>
      </w:pPr>
      <w:hyperlink w:history="0" w:anchor="P544" w:tooltip="ОТЧЕТНОСТЬ">
        <w:r>
          <w:rPr>
            <w:sz w:val="24"/>
            <w:color w:val="0000ff"/>
          </w:rPr>
          <w:t xml:space="preserve">отчетность</w:t>
        </w:r>
      </w:hyperlink>
      <w:r>
        <w:rPr>
          <w:sz w:val="24"/>
        </w:rPr>
        <w:t xml:space="preserve"> о выполнении самостоятельной утилизации отходов от использования товаров по форме согласно приложению N 3 к Положению, утвержденному настоящим постановлением.</w:t>
      </w:r>
    </w:p>
    <w:p>
      <w:pPr>
        <w:pStyle w:val="0"/>
        <w:spacing w:before="240" w:lineRule="auto"/>
        <w:ind w:firstLine="540"/>
        <w:jc w:val="both"/>
      </w:pPr>
      <w:r>
        <w:rPr>
          <w:sz w:val="24"/>
        </w:rPr>
        <w:t xml:space="preserve">6. Реализация федеральными органами исполнительной власти - участниками эксперимента мероприятий, предусмотренных настоящим постановлением и утверждаемым им Положением, осуществляется в пределах установленной штатной численности работников и фонда оплаты труда работников указанных федеральных органов исполнительной власти, а также и бюджетных ассигнований, предусмотренных этим федеральным органам исполнительной власти федеральным законом о федеральном бюджете на соответствующий финансовый год и плановый период на руководство и управление в сфере установленных функций.</w:t>
      </w:r>
    </w:p>
    <w:p>
      <w:pPr>
        <w:pStyle w:val="0"/>
        <w:jc w:val="center"/>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 июня 2024 г. N 750</w:t>
      </w:r>
    </w:p>
    <w:p>
      <w:pPr>
        <w:pStyle w:val="0"/>
        <w:jc w:val="both"/>
      </w:pPr>
      <w:r>
        <w:rPr>
          <w:sz w:val="24"/>
        </w:rPr>
      </w:r>
    </w:p>
    <w:bookmarkStart w:id="38" w:name="P38"/>
    <w:bookmarkEnd w:id="38"/>
    <w:p>
      <w:pPr>
        <w:pStyle w:val="2"/>
        <w:jc w:val="center"/>
      </w:pPr>
      <w:r>
        <w:rPr>
          <w:sz w:val="24"/>
        </w:rPr>
        <w:t xml:space="preserve">ПОЛОЖЕНИЕ</w:t>
      </w:r>
    </w:p>
    <w:p>
      <w:pPr>
        <w:pStyle w:val="2"/>
        <w:jc w:val="center"/>
      </w:pPr>
      <w:r>
        <w:rPr>
          <w:sz w:val="24"/>
        </w:rPr>
        <w:t xml:space="preserve">О ПРОВЕДЕНИИ ЭКСПЕРИМЕНТА В ОТНОШЕНИИ ОТДЕЛЬНЫХ ГРУПП</w:t>
      </w:r>
    </w:p>
    <w:p>
      <w:pPr>
        <w:pStyle w:val="2"/>
        <w:jc w:val="center"/>
      </w:pPr>
      <w:r>
        <w:rPr>
          <w:sz w:val="24"/>
        </w:rPr>
        <w:t xml:space="preserve">ТОВАРОВ, В ТОМ ЧИСЛЕ ТОВАРОВ В УПАКОВКЕ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30.12.2024 </w:t>
            </w:r>
            <w:r>
              <w:rPr>
                <w:sz w:val="24"/>
                <w:color w:val="392c69"/>
              </w:rPr>
              <w:t xml:space="preserve">N 1990</w:t>
            </w:r>
            <w:r>
              <w:rPr>
                <w:sz w:val="24"/>
                <w:color w:val="392c69"/>
              </w:rPr>
              <w:t xml:space="preserve">,</w:t>
            </w:r>
          </w:p>
          <w:p>
            <w:pPr>
              <w:pStyle w:val="0"/>
              <w:jc w:val="center"/>
            </w:pPr>
            <w:r>
              <w:rPr>
                <w:sz w:val="24"/>
                <w:color w:val="392c69"/>
              </w:rPr>
              <w:t xml:space="preserve">от 30.12.2025 </w:t>
            </w:r>
            <w:r>
              <w:rPr>
                <w:sz w:val="24"/>
                <w:color w:val="392c69"/>
              </w:rPr>
              <w:t xml:space="preserve">N 2228</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Настоящее Положение устанавливает порядок проведения на территории Российской Федерации эксперимента по исполнению импортерами товаров требований, установленных </w:t>
      </w:r>
      <w:r>
        <w:rPr>
          <w:sz w:val="24"/>
        </w:rPr>
        <w:t xml:space="preserve">подпунктом 2 пункта 2</w:t>
      </w:r>
      <w:r>
        <w:rPr>
          <w:sz w:val="24"/>
        </w:rPr>
        <w:t xml:space="preserve">, </w:t>
      </w:r>
      <w:r>
        <w:rPr>
          <w:sz w:val="24"/>
        </w:rPr>
        <w:t xml:space="preserve">пунктами 10</w:t>
      </w:r>
      <w:r>
        <w:rPr>
          <w:sz w:val="24"/>
        </w:rPr>
        <w:t xml:space="preserve"> и </w:t>
      </w:r>
      <w:r>
        <w:rPr>
          <w:sz w:val="24"/>
        </w:rPr>
        <w:t xml:space="preserve">18 статьи 24.2-1</w:t>
      </w:r>
      <w:r>
        <w:rPr>
          <w:sz w:val="24"/>
        </w:rPr>
        <w:t xml:space="preserve">, </w:t>
      </w:r>
      <w:r>
        <w:rPr>
          <w:sz w:val="24"/>
        </w:rPr>
        <w:t xml:space="preserve">пунктов 3</w:t>
      </w:r>
      <w:r>
        <w:rPr>
          <w:sz w:val="24"/>
        </w:rPr>
        <w:t xml:space="preserve"> и </w:t>
      </w:r>
      <w:r>
        <w:rPr>
          <w:sz w:val="24"/>
        </w:rPr>
        <w:t xml:space="preserve">12 статьи 24.5</w:t>
      </w:r>
      <w:r>
        <w:rPr>
          <w:sz w:val="24"/>
        </w:rPr>
        <w:t xml:space="preserve"> Федерального закона "Об отходах производства и потребления", при ввозе товаров, в том числе товаров в упаковке, из государств, не являющихся членами Евразийского экономического союза, в отношении отдельных импортируемых групп товаров, в том числе товаров в упаковке, отходы от использования которых подлежат утилизации (далее - эксперимент).</w:t>
      </w:r>
    </w:p>
    <w:p>
      <w:pPr>
        <w:pStyle w:val="0"/>
        <w:spacing w:before="240" w:lineRule="auto"/>
        <w:ind w:firstLine="540"/>
        <w:jc w:val="both"/>
      </w:pPr>
      <w:r>
        <w:rPr>
          <w:sz w:val="24"/>
        </w:rPr>
        <w:t xml:space="preserve">2. Эксперимент проводится с 1 сентября 2024 г. по 31 декабря 2027 г. Информация о датах проведения эксперимента и </w:t>
      </w:r>
      <w:hyperlink w:history="0" w:anchor="P123" w:tooltip="ПЕРЕЧЕНЬ">
        <w:r>
          <w:rPr>
            <w:sz w:val="24"/>
            <w:color w:val="0000ff"/>
          </w:rPr>
          <w:t xml:space="preserve">перечне</w:t>
        </w:r>
      </w:hyperlink>
      <w:r>
        <w:rPr>
          <w:sz w:val="24"/>
        </w:rPr>
        <w:t xml:space="preserve"> отдельных видов товаров, в том числе товаров в упаковке, участвующих в эксперименте, согласно приложению N 1 (далее - перечень товаров, участвующих в эксперименте) публикуется на официальных сайтах Министерства природных ресурсов и экологии Российской Федерации, Федеральной таможенной службы, Федеральной службы по надзору в сфере природопользования и публично-правовой компании по формированию комплексной системы обращения с твердыми коммунальными отходами "Российский экологический оператор" в информационно-телекоммуникационной сети "Интернет".</w:t>
      </w:r>
    </w:p>
    <w:p>
      <w:pPr>
        <w:pStyle w:val="0"/>
        <w:jc w:val="both"/>
      </w:pPr>
      <w:r>
        <w:rPr>
          <w:sz w:val="24"/>
        </w:rPr>
        <w:t xml:space="preserve">(в ред. </w:t>
      </w:r>
      <w:r>
        <w:rPr>
          <w:sz w:val="24"/>
        </w:rPr>
        <w:t xml:space="preserve">Постановления</w:t>
      </w:r>
      <w:r>
        <w:rPr>
          <w:sz w:val="24"/>
        </w:rPr>
        <w:t xml:space="preserve"> Правительства РФ от 30.12.2025 N 2228)</w:t>
      </w:r>
    </w:p>
    <w:p>
      <w:pPr>
        <w:pStyle w:val="0"/>
        <w:spacing w:before="240" w:lineRule="auto"/>
        <w:ind w:firstLine="540"/>
        <w:jc w:val="both"/>
      </w:pPr>
      <w:r>
        <w:rPr>
          <w:sz w:val="24"/>
        </w:rPr>
        <w:t xml:space="preserve">3. Целями эксперимента являются:</w:t>
      </w:r>
    </w:p>
    <w:p>
      <w:pPr>
        <w:pStyle w:val="0"/>
        <w:spacing w:before="240" w:lineRule="auto"/>
        <w:ind w:firstLine="540"/>
        <w:jc w:val="both"/>
      </w:pPr>
      <w:r>
        <w:rPr>
          <w:sz w:val="24"/>
        </w:rPr>
        <w:t xml:space="preserve">а) апробация механизма представления в единую федеральную государственную информационную систему учета отходов от использования товаров (далее - информационная система) импортерами товаров, участвующих в эксперименте, отчетности о массе товаров, упаковки, ввезенных из государств, не являющихся членами Евразийского экономического союза, до дня их выпуска таможенным органом для внутреннего потребления;</w:t>
      </w:r>
    </w:p>
    <w:p>
      <w:pPr>
        <w:pStyle w:val="0"/>
        <w:spacing w:before="240" w:lineRule="auto"/>
        <w:ind w:firstLine="540"/>
        <w:jc w:val="both"/>
      </w:pPr>
      <w:r>
        <w:rPr>
          <w:sz w:val="24"/>
        </w:rPr>
        <w:t xml:space="preserve">б) выявление проблемных вопросов в части формирования отчетности о массе товаров, упаковки, ввезенных из государств, не являющихся членами Евразийского экономического союза, в том числе в части соотнесения ввозимых товаров, товаров в упаковке по наименованиям товарных и упаковочных позиций с кодами единой Товарной номенклатуры внешнеэкономической деятельности Евразийского экономического союза, кодами технического </w:t>
      </w:r>
      <w:r>
        <w:rPr>
          <w:sz w:val="24"/>
        </w:rPr>
        <w:t xml:space="preserve">регламента</w:t>
      </w:r>
      <w:r>
        <w:rPr>
          <w:sz w:val="24"/>
        </w:rPr>
        <w:t xml:space="preserve"> Таможенного союза "О безопасности упаковки", с группами товаров, упаковки и наименованиями товаров, упаковки, включенных в </w:t>
      </w:r>
      <w:r>
        <w:rPr>
          <w:sz w:val="24"/>
        </w:rPr>
        <w:t xml:space="preserve">перечни</w:t>
      </w:r>
      <w:r>
        <w:rPr>
          <w:sz w:val="24"/>
        </w:rPr>
        <w:t xml:space="preserve"> товаров, упаковки, отходы от использования которых подлежат утилизации, утвержденные постановлением Правительства Российской Федерации от 29 декабря 2023 г. N 2414 "Об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упаковки" (далее - перечни товаров, упаковки), а также в части корректности определения массы ввозимых товаров, упаковки, товаров в упаковке;</w:t>
      </w:r>
    </w:p>
    <w:p>
      <w:pPr>
        <w:pStyle w:val="0"/>
        <w:spacing w:before="240" w:lineRule="auto"/>
        <w:ind w:firstLine="540"/>
        <w:jc w:val="both"/>
      </w:pPr>
      <w:r>
        <w:rPr>
          <w:sz w:val="24"/>
        </w:rPr>
        <w:t xml:space="preserve">в) апробация механизма, направленного на обеспечение исполнения импортерами товаров обязанности по утилизации отходов от использования таких товаров и недопущение уклонения от исполнения такой обязанности.</w:t>
      </w:r>
    </w:p>
    <w:p>
      <w:pPr>
        <w:pStyle w:val="0"/>
        <w:spacing w:before="240" w:lineRule="auto"/>
        <w:ind w:firstLine="540"/>
        <w:jc w:val="both"/>
      </w:pPr>
      <w:r>
        <w:rPr>
          <w:sz w:val="24"/>
        </w:rPr>
        <w:t xml:space="preserve">4. Участниками эксперимента являются:</w:t>
      </w:r>
    </w:p>
    <w:bookmarkStart w:id="53" w:name="P53"/>
    <w:bookmarkEnd w:id="53"/>
    <w:p>
      <w:pPr>
        <w:pStyle w:val="0"/>
        <w:spacing w:before="240" w:lineRule="auto"/>
        <w:ind w:firstLine="540"/>
        <w:jc w:val="both"/>
      </w:pPr>
      <w:r>
        <w:rPr>
          <w:sz w:val="24"/>
        </w:rPr>
        <w:t xml:space="preserve">Министерство природных ресурсов и экологии Российской Федерации;</w:t>
      </w:r>
    </w:p>
    <w:p>
      <w:pPr>
        <w:pStyle w:val="0"/>
        <w:spacing w:before="240" w:lineRule="auto"/>
        <w:ind w:firstLine="540"/>
        <w:jc w:val="both"/>
      </w:pPr>
      <w:r>
        <w:rPr>
          <w:sz w:val="24"/>
        </w:rPr>
        <w:t xml:space="preserve">Министерство промышленности и торговли Российской Федерации;</w:t>
      </w:r>
    </w:p>
    <w:p>
      <w:pPr>
        <w:pStyle w:val="0"/>
        <w:spacing w:before="240" w:lineRule="auto"/>
        <w:ind w:firstLine="540"/>
        <w:jc w:val="both"/>
      </w:pPr>
      <w:r>
        <w:rPr>
          <w:sz w:val="24"/>
        </w:rPr>
        <w:t xml:space="preserve">Федеральная служба по надзору в сфере природопользования;</w:t>
      </w:r>
    </w:p>
    <w:bookmarkStart w:id="56" w:name="P56"/>
    <w:bookmarkEnd w:id="56"/>
    <w:p>
      <w:pPr>
        <w:pStyle w:val="0"/>
        <w:spacing w:before="240" w:lineRule="auto"/>
        <w:ind w:firstLine="540"/>
        <w:jc w:val="both"/>
      </w:pPr>
      <w:r>
        <w:rPr>
          <w:sz w:val="24"/>
        </w:rPr>
        <w:t xml:space="preserve">Федеральная таможенная служба;</w:t>
      </w:r>
    </w:p>
    <w:p>
      <w:pPr>
        <w:pStyle w:val="0"/>
        <w:spacing w:before="240" w:lineRule="auto"/>
        <w:ind w:firstLine="540"/>
        <w:jc w:val="both"/>
      </w:pPr>
      <w:r>
        <w:rPr>
          <w:sz w:val="24"/>
        </w:rPr>
        <w:t xml:space="preserve">импортеры товаров, в том числе товаров в упаковке, включенных в перечень товаров, участвующих в эксперименте.</w:t>
      </w:r>
    </w:p>
    <w:p>
      <w:pPr>
        <w:pStyle w:val="0"/>
        <w:spacing w:before="240" w:lineRule="auto"/>
        <w:ind w:firstLine="540"/>
        <w:jc w:val="both"/>
      </w:pPr>
      <w:r>
        <w:rPr>
          <w:sz w:val="24"/>
        </w:rPr>
        <w:t xml:space="preserve">5. Эксперимент является обязательным для импортеров товаров, в том числе товаров в упаковке, включенных в перечень товаров, участвующих в эксперименте.</w:t>
      </w:r>
    </w:p>
    <w:bookmarkStart w:id="59" w:name="P59"/>
    <w:bookmarkEnd w:id="59"/>
    <w:p>
      <w:pPr>
        <w:pStyle w:val="0"/>
        <w:spacing w:before="240" w:lineRule="auto"/>
        <w:ind w:firstLine="540"/>
        <w:jc w:val="both"/>
      </w:pPr>
      <w:r>
        <w:rPr>
          <w:sz w:val="24"/>
        </w:rPr>
        <w:t xml:space="preserve">6. Действие эксперимента распространяется на:</w:t>
      </w:r>
    </w:p>
    <w:p>
      <w:pPr>
        <w:pStyle w:val="0"/>
        <w:spacing w:before="240" w:lineRule="auto"/>
        <w:ind w:firstLine="540"/>
        <w:jc w:val="both"/>
      </w:pPr>
      <w:r>
        <w:rPr>
          <w:sz w:val="24"/>
        </w:rPr>
        <w:t xml:space="preserve">а) товары, упаковку (за исключением случая, указанного в </w:t>
      </w:r>
      <w:hyperlink w:history="0" w:anchor="P62" w:tooltip="7. В случае если на территорию Российской Федерации ввозится товар в упаковке, которая включена в перечень товаров, участвующих в эксперименте, и товар, который упакован в такую упаковку, не включен в перечень товаров, участвующих в эксперименте, действие эксперимента на указанные товар и упаковку не распространяется.">
        <w:r>
          <w:rPr>
            <w:sz w:val="24"/>
            <w:color w:val="0000ff"/>
          </w:rPr>
          <w:t xml:space="preserve">пункте 7</w:t>
        </w:r>
      </w:hyperlink>
      <w:r>
        <w:rPr>
          <w:sz w:val="24"/>
        </w:rPr>
        <w:t xml:space="preserve"> настоящего Положения), ввезенные из государств, не являющихся членами Евразийского экономического союза, включенные в перечень товаров, участвующих в эксперименте;</w:t>
      </w:r>
    </w:p>
    <w:bookmarkStart w:id="61" w:name="P61"/>
    <w:bookmarkEnd w:id="61"/>
    <w:p>
      <w:pPr>
        <w:pStyle w:val="0"/>
        <w:spacing w:before="240" w:lineRule="auto"/>
        <w:ind w:firstLine="540"/>
        <w:jc w:val="both"/>
      </w:pPr>
      <w:r>
        <w:rPr>
          <w:sz w:val="24"/>
        </w:rPr>
        <w:t xml:space="preserve">б) упаковку, включенную в перечни товаров, упаковки, и не включенную в перечень товаров, участвующих в эксперименте, в случае, если из государств, не являющихся членами Евразийского экономического союза, ввозятся товары, включенные в перечень товаров, участвующих в эксперименте, упакованные в такую упаковку.</w:t>
      </w:r>
    </w:p>
    <w:bookmarkStart w:id="62" w:name="P62"/>
    <w:bookmarkEnd w:id="62"/>
    <w:p>
      <w:pPr>
        <w:pStyle w:val="0"/>
        <w:spacing w:before="240" w:lineRule="auto"/>
        <w:ind w:firstLine="540"/>
        <w:jc w:val="both"/>
      </w:pPr>
      <w:r>
        <w:rPr>
          <w:sz w:val="24"/>
        </w:rPr>
        <w:t xml:space="preserve">7. В случае если на территорию Российской Федерации ввозится товар в упаковке, которая включена в перечень товаров, участвующих в эксперименте, и товар, который упакован в такую упаковку, не включен в перечень товаров, участвующих в эксперименте, действие эксперимента на указанные товар и упаковку не распространяется.</w:t>
      </w:r>
    </w:p>
    <w:bookmarkStart w:id="63" w:name="P63"/>
    <w:bookmarkEnd w:id="63"/>
    <w:p>
      <w:pPr>
        <w:pStyle w:val="0"/>
        <w:spacing w:before="240" w:lineRule="auto"/>
        <w:ind w:firstLine="540"/>
        <w:jc w:val="both"/>
      </w:pPr>
      <w:r>
        <w:rPr>
          <w:sz w:val="24"/>
        </w:rPr>
        <w:t xml:space="preserve">8. Федеральная таможенная служба в период с 1 сентября 2024 г. по 1 сентября 2025 г. на основании соглашения об информационном взаимодействии, заключенного Федеральной таможенной службой с публично-правовой компанией по формированию комплексной системы обращения с твердыми коммунальными отходами "Российский экологический оператор", передает в информационную систему информацию о ввезенных из государств, не являющихся членами Евразийского экономического союза, товарах, в том числе товарах в упаковке, предусмотренных </w:t>
      </w:r>
      <w:hyperlink w:history="0" w:anchor="P59" w:tooltip="6. Действие эксперимента распространяется на:">
        <w:r>
          <w:rPr>
            <w:sz w:val="24"/>
            <w:color w:val="0000ff"/>
          </w:rPr>
          <w:t xml:space="preserve">пунктом 6</w:t>
        </w:r>
      </w:hyperlink>
      <w:r>
        <w:rPr>
          <w:sz w:val="24"/>
        </w:rPr>
        <w:t xml:space="preserve"> настоящего Положения, о лицах, указанных при ввозе таких товаров, в том числе товаров в упаковке, в декларации на товары в качестве лиц, ответственных за финансовое урегулирование, по форме, предусмотренной </w:t>
      </w:r>
      <w:r>
        <w:rPr>
          <w:sz w:val="24"/>
        </w:rPr>
        <w:t xml:space="preserve">приложением N 7</w:t>
      </w:r>
      <w:r>
        <w:rPr>
          <w:sz w:val="24"/>
        </w:rPr>
        <w:t xml:space="preserve"> к Положению о единой федеральной государственной информационной системе учета отходов от использования товаров, утвержденному постановлением Правительства Российской Федерации от 13 мая 2022 г. N 868 "О единой федеральной государственной информационной системе учета отходов от использования товаров", в срок не более 1 рабочего дня со дня поступления декларации о товаре в Федеральную таможенную службу.</w:t>
      </w:r>
    </w:p>
    <w:bookmarkStart w:id="64" w:name="P64"/>
    <w:bookmarkEnd w:id="64"/>
    <w:p>
      <w:pPr>
        <w:pStyle w:val="0"/>
        <w:spacing w:before="240" w:lineRule="auto"/>
        <w:ind w:firstLine="540"/>
        <w:jc w:val="both"/>
      </w:pPr>
      <w:r>
        <w:rPr>
          <w:sz w:val="24"/>
        </w:rPr>
        <w:t xml:space="preserve">До обеспечения технической возможности передачи в информационную систему информации, указанной в </w:t>
      </w:r>
      <w:hyperlink w:history="0" w:anchor="P63" w:tooltip="8. Федеральная таможенная служба в период с 1 сентября 2024 г. по 1 сентября 2025 г. на основании соглашения об информационном взаимодействии, заключенного Федеральной таможенной службой с публично-правовой компанией по формированию комплексной системы обращения с твердыми коммунальными отходами &quot;Российский экологический оператор&quot;, передает в информационную систему информацию о ввезенных из государств, не являющихся членами Евразийского экономического союза, товарах, в том числе товарах в упаковке, преду...">
        <w:r>
          <w:rPr>
            <w:sz w:val="24"/>
            <w:color w:val="0000ff"/>
          </w:rPr>
          <w:t xml:space="preserve">абзаце первом</w:t>
        </w:r>
      </w:hyperlink>
      <w:r>
        <w:rPr>
          <w:sz w:val="24"/>
        </w:rPr>
        <w:t xml:space="preserve"> настоящего пункта, Федеральная таможенная служба еженедельно представляет в электронном виде указанную информацию в Министерство промышленности и торговли Российской Федерации, Федеральную службу по надзору в сфере природопользования и публично-правовую компанию по формированию комплексной системы обращения с твердыми коммунальными отходами "Российский экологический оператор".</w:t>
      </w:r>
    </w:p>
    <w:p>
      <w:pPr>
        <w:pStyle w:val="0"/>
        <w:spacing w:before="240" w:lineRule="auto"/>
        <w:ind w:firstLine="540"/>
        <w:jc w:val="both"/>
      </w:pPr>
      <w:r>
        <w:rPr>
          <w:sz w:val="24"/>
        </w:rPr>
        <w:t xml:space="preserve">Для целей идентификации товаров, упаковки, сведения о которой подлежат передаче в информационную систему, Федеральная таможенная служба руководствуется кодами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w:t>
      </w:r>
    </w:p>
    <w:bookmarkStart w:id="66" w:name="P66"/>
    <w:bookmarkEnd w:id="66"/>
    <w:p>
      <w:pPr>
        <w:pStyle w:val="0"/>
        <w:spacing w:before="240" w:lineRule="auto"/>
        <w:ind w:firstLine="540"/>
        <w:jc w:val="both"/>
      </w:pPr>
      <w:r>
        <w:rPr>
          <w:sz w:val="24"/>
        </w:rPr>
        <w:t xml:space="preserve">9. Импортеры товаров, в том числе товаров в упаковке, указанных в </w:t>
      </w:r>
      <w:hyperlink w:history="0" w:anchor="P59" w:tooltip="6. Действие эксперимента распространяется на:">
        <w:r>
          <w:rPr>
            <w:sz w:val="24"/>
            <w:color w:val="0000ff"/>
          </w:rPr>
          <w:t xml:space="preserve">пункте 6</w:t>
        </w:r>
      </w:hyperlink>
      <w:r>
        <w:rPr>
          <w:sz w:val="24"/>
        </w:rPr>
        <w:t xml:space="preserve"> настоящего Положения:</w:t>
      </w:r>
    </w:p>
    <w:bookmarkStart w:id="67" w:name="P67"/>
    <w:bookmarkEnd w:id="67"/>
    <w:p>
      <w:pPr>
        <w:pStyle w:val="0"/>
        <w:spacing w:before="240" w:lineRule="auto"/>
        <w:ind w:firstLine="540"/>
        <w:jc w:val="both"/>
      </w:pPr>
      <w:r>
        <w:rPr>
          <w:sz w:val="24"/>
        </w:rPr>
        <w:t xml:space="preserve">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w:t>
      </w:r>
    </w:p>
    <w:bookmarkStart w:id="68" w:name="P68"/>
    <w:bookmarkEnd w:id="68"/>
    <w:p>
      <w:pPr>
        <w:pStyle w:val="0"/>
        <w:spacing w:before="240" w:lineRule="auto"/>
        <w:ind w:firstLine="540"/>
        <w:jc w:val="both"/>
      </w:pPr>
      <w:r>
        <w:rPr>
          <w:sz w:val="24"/>
        </w:rPr>
        <w:t xml:space="preserve">уплачивают экологический сбор в размере и порядке, которые установлены </w:t>
      </w:r>
      <w:r>
        <w:rPr>
          <w:sz w:val="24"/>
        </w:rPr>
        <w:t xml:space="preserve">статьей 24.5</w:t>
      </w:r>
      <w:r>
        <w:rPr>
          <w:sz w:val="24"/>
        </w:rPr>
        <w:t xml:space="preserve"> Федерального закона "Об отходах производства и потребления", либо при наличии намерения самостоятельной утилизации отходов от использования таких товаров получают банковскую гарантию уплаты денежных сумм в размере экологического сбора или заключают договор поручительства по уплате денежных сумм в размере экологического сбора с юридическим лицом или индивидуальным предпринимателем, осуществляющим утилизацию отходов от использования товаров и включенным в реестр таких лиц, предусмотренный </w:t>
      </w:r>
      <w:r>
        <w:rPr>
          <w:sz w:val="24"/>
        </w:rPr>
        <w:t xml:space="preserve">статьей 24.2-3</w:t>
      </w:r>
      <w:r>
        <w:rPr>
          <w:sz w:val="24"/>
        </w:rPr>
        <w:t xml:space="preserve"> Федерального закона "Об отходах производства и потребления", в соответствии с требованиями </w:t>
      </w:r>
      <w:r>
        <w:rPr>
          <w:sz w:val="24"/>
        </w:rPr>
        <w:t xml:space="preserve">пунктов 10</w:t>
      </w:r>
      <w:r>
        <w:rPr>
          <w:sz w:val="24"/>
        </w:rPr>
        <w:t xml:space="preserve">, </w:t>
      </w:r>
      <w:r>
        <w:rPr>
          <w:sz w:val="24"/>
        </w:rPr>
        <w:t xml:space="preserve">16</w:t>
      </w:r>
      <w:r>
        <w:rPr>
          <w:sz w:val="24"/>
        </w:rPr>
        <w:t xml:space="preserve"> и </w:t>
      </w:r>
      <w:r>
        <w:rPr>
          <w:sz w:val="24"/>
        </w:rPr>
        <w:t xml:space="preserve">18 статьи 24.2-1</w:t>
      </w:r>
      <w:r>
        <w:rPr>
          <w:sz w:val="24"/>
        </w:rPr>
        <w:t xml:space="preserve"> Федерального закона "Об отходах производства и потребления" (далее - банковская гарантия или договор поручительства);</w:t>
      </w:r>
    </w:p>
    <w:bookmarkStart w:id="69" w:name="P69"/>
    <w:bookmarkEnd w:id="69"/>
    <w:p>
      <w:pPr>
        <w:pStyle w:val="0"/>
        <w:spacing w:before="240" w:lineRule="auto"/>
        <w:ind w:firstLine="540"/>
        <w:jc w:val="both"/>
      </w:pPr>
      <w:r>
        <w:rPr>
          <w:sz w:val="24"/>
        </w:rPr>
        <w:t xml:space="preserve">представляют в информационную систему отчетность о массе товаров, упаковки, ввезенных из государств, не являющихся членами Евразийского экономического союза, по форме согласно </w:t>
      </w:r>
      <w:r>
        <w:rPr>
          <w:sz w:val="24"/>
        </w:rPr>
        <w:t xml:space="preserve">приложению N 2</w:t>
      </w:r>
      <w:r>
        <w:rPr>
          <w:sz w:val="24"/>
        </w:rPr>
        <w:t xml:space="preserve"> к Правилам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утвержденным постановлением Правительства Российской Федерации от 31 мая 2024 г. N 741 "Об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(далее - Правила представления отчетности о массе), с указанием реквизитов (номер, дата) документа об осуществлении уплаты экологического сбора и его размера либо с уведомлением о намерении самостоятельной утилизации отходов от использования товаров с приложением копии банковской гарантии или договора поручительства - в случае, если импортером товара планируется самостоятельная утилизация отходов от использования товаров;</w:t>
      </w:r>
    </w:p>
    <w:bookmarkStart w:id="70" w:name="P70"/>
    <w:bookmarkEnd w:id="70"/>
    <w:p>
      <w:pPr>
        <w:pStyle w:val="0"/>
        <w:spacing w:before="240" w:lineRule="auto"/>
        <w:ind w:firstLine="540"/>
        <w:jc w:val="both"/>
      </w:pPr>
      <w:r>
        <w:rPr>
          <w:sz w:val="24"/>
        </w:rPr>
        <w:t xml:space="preserve">б) до 15 апреля 2025 г. и до 15 апреля 2026 г. представляют в информационную систему отчетность о массе товаров, упаковки, ввезенных из государств, не являющихся членами Евразийского экономического союза, за периоды с 1 января по 31 декабря 2024 г. и с 1 января по 31 декабря 2025 г. соответственно по форме согласно </w:t>
      </w:r>
      <w:hyperlink w:history="0" w:anchor="P192" w:tooltip="Приложение N 2">
        <w:r>
          <w:rPr>
            <w:sz w:val="24"/>
            <w:color w:val="0000ff"/>
          </w:rPr>
          <w:t xml:space="preserve">приложению N 2</w:t>
        </w:r>
      </w:hyperlink>
      <w:r>
        <w:rPr>
          <w:sz w:val="24"/>
        </w:rPr>
        <w:t xml:space="preserve">.</w:t>
      </w:r>
    </w:p>
    <w:p>
      <w:pPr>
        <w:pStyle w:val="0"/>
        <w:spacing w:before="240" w:lineRule="auto"/>
        <w:ind w:firstLine="540"/>
        <w:jc w:val="both"/>
      </w:pPr>
      <w:r>
        <w:rPr>
          <w:sz w:val="24"/>
        </w:rPr>
        <w:t xml:space="preserve">В случае, предусмотренном </w:t>
      </w:r>
      <w:hyperlink w:history="0" w:anchor="P61" w:tooltip="б) упаковку, включенную в перечни товаров, упаковки, и не включенную в перечень товаров, участвующих в эксперименте, в случае, если из государств, не являющихся членами Евразийского экономического союза, ввозятся товары, включенные в перечень товаров, участвующих в эксперименте, упакованные в такую упаковку.">
        <w:r>
          <w:rPr>
            <w:sz w:val="24"/>
            <w:color w:val="0000ff"/>
          </w:rPr>
          <w:t xml:space="preserve">подпунктом "б" пункта 6</w:t>
        </w:r>
      </w:hyperlink>
      <w:r>
        <w:rPr>
          <w:sz w:val="24"/>
        </w:rPr>
        <w:t xml:space="preserve"> настоящего Положения, импортер товара подает отчетность о массе товаров, упаковки, ввезенных из государств, не являющихся членами Евразийского экономического союза, в отношении упаковки соответствующего наименования, в которую упакован товар, ввезенный на территорию Российской Федерации, в соответствии с настоящим подпунктом в отношении всей массы такой упаковки, в том числе упаковки, в которую был упакован ввезенный товар, не включенный в перечень товаров, участвующих в эксперименте. При этом подача отчетности о массе товаров, упаковки, ввезенных из государств, не являющихся членами Евразийского экономического союза, в отношении ввезенной упаковки по форме согласно </w:t>
      </w:r>
      <w:r>
        <w:rPr>
          <w:sz w:val="24"/>
        </w:rPr>
        <w:t xml:space="preserve">приложению N 1</w:t>
      </w:r>
      <w:r>
        <w:rPr>
          <w:sz w:val="24"/>
        </w:rPr>
        <w:t xml:space="preserve"> к Правилам представления отчетности о массе не требуется.</w:t>
      </w:r>
    </w:p>
    <w:p>
      <w:pPr>
        <w:pStyle w:val="0"/>
        <w:spacing w:before="240" w:lineRule="auto"/>
        <w:ind w:firstLine="540"/>
        <w:jc w:val="both"/>
      </w:pPr>
      <w:r>
        <w:rPr>
          <w:sz w:val="24"/>
        </w:rPr>
        <w:t xml:space="preserve">В отношении товаров, упаковки, включенных в перечень товаров, участвующих в эксперименте, по которым импортерами товаров, в том числе товаров в упаковке, указанных в </w:t>
      </w:r>
      <w:hyperlink w:history="0" w:anchor="P59" w:tooltip="6. Действие эксперимента распространяется на:">
        <w:r>
          <w:rPr>
            <w:sz w:val="24"/>
            <w:color w:val="0000ff"/>
          </w:rPr>
          <w:t xml:space="preserve">пункте 6</w:t>
        </w:r>
      </w:hyperlink>
      <w:r>
        <w:rPr>
          <w:sz w:val="24"/>
        </w:rPr>
        <w:t xml:space="preserve"> настоящего Положения, представлена отчетность, указанная в </w:t>
      </w:r>
      <w:hyperlink w:history="0" w:anchor="P70" w:tooltip="б) до 15 апреля 2025 г. и до 15 апреля 2026 г. представляют в информационную систему отчетность о массе товаров, упаковки, ввезенных из государств, не являющихся членами Евразийского экономического союза, за периоды с 1 января по 31 декабря 2024 г. и с 1 января по 31 декабря 2025 г. соответственно по форме согласно приложению N 2.">
        <w:r>
          <w:rPr>
            <w:sz w:val="24"/>
            <w:color w:val="0000ff"/>
          </w:rPr>
          <w:t xml:space="preserve">абзаце первом</w:t>
        </w:r>
      </w:hyperlink>
      <w:r>
        <w:rPr>
          <w:sz w:val="24"/>
        </w:rPr>
        <w:t xml:space="preserve"> настоящего подпункта, подача отчетности о массе товаров, упаковки, ввезенных из государств, не являющихся членами Евразийского экономического союза, в отношении ввезенной упаковки по форме согласно </w:t>
      </w:r>
      <w:r>
        <w:rPr>
          <w:sz w:val="24"/>
        </w:rPr>
        <w:t xml:space="preserve">приложению N 1</w:t>
      </w:r>
      <w:r>
        <w:rPr>
          <w:sz w:val="24"/>
        </w:rPr>
        <w:t xml:space="preserve"> к Правилам представления отчетности о массе импортерами товаров не требуется;</w:t>
      </w:r>
    </w:p>
    <w:bookmarkStart w:id="73" w:name="P73"/>
    <w:bookmarkEnd w:id="73"/>
    <w:p>
      <w:pPr>
        <w:pStyle w:val="0"/>
        <w:spacing w:before="240" w:lineRule="auto"/>
        <w:ind w:firstLine="540"/>
        <w:jc w:val="both"/>
      </w:pPr>
      <w:r>
        <w:rPr>
          <w:sz w:val="24"/>
        </w:rPr>
        <w:t xml:space="preserve">в) до 15 апреля 2025 г. и до 15 апреля 2026 г. представляют в информационную систему отчетность о выполнении самостоятельной утилизации отходов от использования товаров за периоды с 1 января по 31 декабря 2024 г. и с 1 января по 31 декабря 2025 г. соответственно по форме согласно </w:t>
      </w:r>
      <w:hyperlink w:history="0" w:anchor="P544" w:tooltip="ОТЧЕТНОСТЬ">
        <w:r>
          <w:rPr>
            <w:sz w:val="24"/>
            <w:color w:val="0000ff"/>
          </w:rPr>
          <w:t xml:space="preserve">приложению N 3</w:t>
        </w:r>
      </w:hyperlink>
      <w:r>
        <w:rPr>
          <w:sz w:val="24"/>
        </w:rPr>
        <w:t xml:space="preserve"> и (или) уплачивают экологический сбор в размерах и порядке, которые установлены </w:t>
      </w:r>
      <w:r>
        <w:rPr>
          <w:sz w:val="24"/>
        </w:rPr>
        <w:t xml:space="preserve">статьей 24.5</w:t>
      </w:r>
      <w:r>
        <w:rPr>
          <w:sz w:val="24"/>
        </w:rPr>
        <w:t xml:space="preserve"> Федерального закона "Об отходах производства и потребления", за исключением товаров, в том числе товаров в упаковке, в отношении которых их импортерами уплачен экологический сбор в соответствии с </w:t>
      </w:r>
      <w:hyperlink w:history="0" w:anchor="P68" w:tooltip="уплачивают экологический сбор в размере и порядке, которые установлены статьей 24.5 Федерального закона &quot;Об отходах производства и потребления&quot;, либо при наличии намерения самостоятельной утилизации отходов от использования таких товаров получают банковскую гарантию уплаты денежных сумм в размере экологического сбора или заключают договор поручительства по уплате денежных сумм в размере экологического сбора с юридическим лицом или индивидуальным предпринимателем, осуществляющим утилизацию отходов от испо...">
        <w:r>
          <w:rPr>
            <w:sz w:val="24"/>
            <w:color w:val="0000ff"/>
          </w:rPr>
          <w:t xml:space="preserve">абзацем вторым подпункта "а"</w:t>
        </w:r>
      </w:hyperlink>
      <w:r>
        <w:rPr>
          <w:sz w:val="24"/>
        </w:rPr>
        <w:t xml:space="preserve"> настоящего пункта.</w:t>
      </w:r>
    </w:p>
    <w:p>
      <w:pPr>
        <w:pStyle w:val="0"/>
        <w:spacing w:before="240" w:lineRule="auto"/>
        <w:ind w:firstLine="540"/>
        <w:jc w:val="both"/>
      </w:pPr>
      <w:r>
        <w:rPr>
          <w:sz w:val="24"/>
        </w:rPr>
        <w:t xml:space="preserve">В отношении товаров, упаковки, включенных в перечень товаров, участвующих в эксперименте, по которым импортерами товаров, в том числе товаров в упаковке, указанных в </w:t>
      </w:r>
      <w:hyperlink w:history="0" w:anchor="P59" w:tooltip="6. Действие эксперимента распространяется на:">
        <w:r>
          <w:rPr>
            <w:sz w:val="24"/>
            <w:color w:val="0000ff"/>
          </w:rPr>
          <w:t xml:space="preserve">пункте 6</w:t>
        </w:r>
      </w:hyperlink>
      <w:r>
        <w:rPr>
          <w:sz w:val="24"/>
        </w:rPr>
        <w:t xml:space="preserve"> настоящего Положения, представлена отчетность, указанная в </w:t>
      </w:r>
      <w:hyperlink w:history="0" w:anchor="P73" w:tooltip="в) до 15 апреля 2025 г. и до 15 апреля 2026 г. представляют в информационную систему отчетность о выполнении самостоятельной утилизации отходов от использования товаров за периоды с 1 января по 31 декабря 2024 г. и с 1 января по 31 декабря 2025 г. соответственно по форме согласно приложению N 3 и (или) уплачивают экологический сбор в размерах и порядке, которые установлены статьей 24.5 Федерального закона &quot;Об отходах производства и потребления&quot;, за исключением товаров, в том числе товаров в упаковке, в о...">
        <w:r>
          <w:rPr>
            <w:sz w:val="24"/>
            <w:color w:val="0000ff"/>
          </w:rPr>
          <w:t xml:space="preserve">абзаце первом</w:t>
        </w:r>
      </w:hyperlink>
      <w:r>
        <w:rPr>
          <w:sz w:val="24"/>
        </w:rPr>
        <w:t xml:space="preserve"> настоящего подпункта, подача отчетности о выполнении самостоятельной утилизации отходов от использования товаров по форме согласно </w:t>
      </w:r>
      <w:r>
        <w:rPr>
          <w:sz w:val="24"/>
        </w:rPr>
        <w:t xml:space="preserve">приложению N 1</w:t>
      </w:r>
      <w:r>
        <w:rPr>
          <w:sz w:val="24"/>
        </w:rPr>
        <w:t xml:space="preserve"> к Правилам представления производителями товаров, импортерами товаров отчетности о выполнении самостоятельной утилизации отходов от использования товаров, утвержденным постановлением Правительства Российской Федерации от 31 мая 2024 г. N 742 "Об утверждении Правил представления производителями товаров, импортерами товаров отчетности о выполнении самостоятельной утилизации отходов от использования товаров", не требуется;</w:t>
      </w:r>
    </w:p>
    <w:p>
      <w:pPr>
        <w:pStyle w:val="0"/>
        <w:spacing w:before="240" w:lineRule="auto"/>
        <w:ind w:firstLine="540"/>
        <w:jc w:val="both"/>
      </w:pPr>
      <w:r>
        <w:rPr>
          <w:sz w:val="24"/>
        </w:rPr>
        <w:t xml:space="preserve">г) в срок, не превышающий 10 рабочих дней со дня поступления от Федеральной службы по надзору в сфере природопользования предусмотренных </w:t>
      </w:r>
      <w:hyperlink w:history="0" w:anchor="P82" w:tooltip="а) в течение 15 рабочих дней со дня поступления отчетности, предусмотренной подпунктом &quot;а&quot; пункта 9 настоящего Положения:">
        <w:r>
          <w:rPr>
            <w:sz w:val="24"/>
            <w:color w:val="0000ff"/>
          </w:rPr>
          <w:t xml:space="preserve">подпунктами "а"</w:t>
        </w:r>
      </w:hyperlink>
      <w:r>
        <w:rPr>
          <w:sz w:val="24"/>
        </w:rPr>
        <w:t xml:space="preserve"> и </w:t>
      </w:r>
      <w:hyperlink w:history="0" w:anchor="P89" w:tooltip="в) в срок, не превышающий 5 рабочих дней со дня поступления от Министерства промышленности и торговли Российской Федерации информации о выявлении несоответствия заявленных в отчетности, предусмотренной подпунктом &quot;а&quot; пункта 9 настоящего Положения, наименования и кода единой Товарной номенклатуры внешнеэкономической деятельности Евразийского экономического союза фактически ввезенным товарам, упаковке в соответствии с кодами технического регламента Таможенного союза &quot;О безопасности упаковки&quot;, с группами то...">
        <w:r>
          <w:rPr>
            <w:sz w:val="24"/>
            <w:color w:val="0000ff"/>
          </w:rPr>
          <w:t xml:space="preserve">"в" пункта 10</w:t>
        </w:r>
      </w:hyperlink>
      <w:r>
        <w:rPr>
          <w:sz w:val="24"/>
        </w:rPr>
        <w:t xml:space="preserve"> настоящего Положения требований о необходимости устранения выявленных нарушений, устраняют выявленные нарушения (к примеру, представляют отчетность о массе товаров, упаковки, ввезенных из государств, не являющихся членами Евразийского экономического союза, доработанную в целях устранения выявленных нарушений, осуществляют уплату экологического сбора и (или) представляют копии банковской гарантии или договора поручительства) либо направляют в Федеральную службу по надзору в сфере природопользования уведомление об отсутствии нарушений с приложением соответствующих обоснований и документов;</w:t>
      </w:r>
    </w:p>
    <w:p>
      <w:pPr>
        <w:pStyle w:val="0"/>
        <w:jc w:val="both"/>
      </w:pPr>
      <w:r>
        <w:rPr>
          <w:sz w:val="24"/>
        </w:rPr>
        <w:t xml:space="preserve">(в ред. </w:t>
      </w:r>
      <w:r>
        <w:rPr>
          <w:sz w:val="24"/>
        </w:rPr>
        <w:t xml:space="preserve">Постановления</w:t>
      </w:r>
      <w:r>
        <w:rPr>
          <w:sz w:val="24"/>
        </w:rPr>
        <w:t xml:space="preserve"> Правительства РФ от 30.12.2025 N 2228)</w:t>
      </w:r>
    </w:p>
    <w:p>
      <w:pPr>
        <w:pStyle w:val="0"/>
        <w:spacing w:before="240" w:lineRule="auto"/>
        <w:ind w:firstLine="540"/>
        <w:jc w:val="both"/>
      </w:pPr>
      <w:r>
        <w:rPr>
          <w:sz w:val="24"/>
        </w:rPr>
        <w:t xml:space="preserve">д) в срок, не превышающий 10 рабочих дней со дня поступления от Федеральной службы по надзору в сфере природопользования предусмотренного </w:t>
      </w:r>
      <w:hyperlink w:history="0" w:anchor="P87" w:tooltip="б) в течение 10 рабочих дней со дня поступления от Федеральной таможенной службы информации, предусмотренной абзацем первым пункта 8 настоящего Положения, в информационную систему или в случае, предусмотренном абзацем вторым пункта 8 настоящего Положения, проводит проверку факта представления импортером товара в информационную систему отчетности, предусмотренной пунктом &quot;а&quot; пункта 9 настоящего Положения, и в случае выявления факта непредставления указанной отчетности направляет требование импортеру товар...">
        <w:r>
          <w:rPr>
            <w:sz w:val="24"/>
            <w:color w:val="0000ff"/>
          </w:rPr>
          <w:t xml:space="preserve">подпунктом "б" пункта 10</w:t>
        </w:r>
      </w:hyperlink>
      <w:r>
        <w:rPr>
          <w:sz w:val="24"/>
        </w:rPr>
        <w:t xml:space="preserve"> настоящего Положения требования, выполняют действия, предусмотренные </w:t>
      </w:r>
      <w:hyperlink w:history="0" w:anchor="P68" w:tooltip="уплачивают экологический сбор в размере и порядке, которые установлены статьей 24.5 Федерального закона &quot;Об отходах производства и потребления&quot;, либо при наличии намерения самостоятельной утилизации отходов от использования таких товаров получают банковскую гарантию уплаты денежных сумм в размере экологического сбора или заключают договор поручительства по уплате денежных сумм в размере экологического сбора с юридическим лицом или индивидуальным предпринимателем, осуществляющим утилизацию отходов от испо...">
        <w:r>
          <w:rPr>
            <w:sz w:val="24"/>
            <w:color w:val="0000ff"/>
          </w:rPr>
          <w:t xml:space="preserve">абзацами вторым</w:t>
        </w:r>
      </w:hyperlink>
      <w:r>
        <w:rPr>
          <w:sz w:val="24"/>
        </w:rPr>
        <w:t xml:space="preserve"> и </w:t>
      </w:r>
      <w:hyperlink w:history="0" w:anchor="P69" w:tooltip="представляют в информационную систему отчетность о массе товаров, упаковки, ввезенных из государств, не являющихся членами Евразийского экономического союза, по форме согласно приложению N 2 к Правилам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
        <w:r>
          <w:rPr>
            <w:sz w:val="24"/>
            <w:color w:val="0000ff"/>
          </w:rPr>
          <w:t xml:space="preserve">третьим подпункта "а"</w:t>
        </w:r>
      </w:hyperlink>
      <w:r>
        <w:rPr>
          <w:sz w:val="24"/>
        </w:rPr>
        <w:t xml:space="preserve"> настоящего пункта;</w:t>
      </w:r>
    </w:p>
    <w:p>
      <w:pPr>
        <w:pStyle w:val="0"/>
        <w:jc w:val="both"/>
      </w:pPr>
      <w:r>
        <w:rPr>
          <w:sz w:val="24"/>
        </w:rPr>
        <w:t xml:space="preserve">(в ред. </w:t>
      </w:r>
      <w:r>
        <w:rPr>
          <w:sz w:val="24"/>
        </w:rPr>
        <w:t xml:space="preserve">Постановления</w:t>
      </w:r>
      <w:r>
        <w:rPr>
          <w:sz w:val="24"/>
        </w:rPr>
        <w:t xml:space="preserve"> Правительства РФ от 30.12.2025 N 2228)</w:t>
      </w:r>
    </w:p>
    <w:bookmarkStart w:id="79" w:name="P79"/>
    <w:bookmarkEnd w:id="79"/>
    <w:p>
      <w:pPr>
        <w:pStyle w:val="0"/>
        <w:spacing w:before="240" w:lineRule="auto"/>
        <w:ind w:firstLine="540"/>
        <w:jc w:val="both"/>
      </w:pPr>
      <w:r>
        <w:rPr>
          <w:sz w:val="24"/>
        </w:rPr>
        <w:t xml:space="preserve">е) в срок до 15 сентября 2025 г. представляют в Министерство природных ресурсов и экологии Российской Федерации в бумажном или электронном виде информацию (при наличии) о проблемных вопросах, возникающих при формировании и представлении в информационную систему отчетности, предусмотренной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подпунктами "а"</w:t>
        </w:r>
      </w:hyperlink>
      <w:r>
        <w:rPr>
          <w:sz w:val="24"/>
        </w:rPr>
        <w:t xml:space="preserve"> - </w:t>
      </w:r>
      <w:hyperlink w:history="0" w:anchor="P73" w:tooltip="в) до 15 апреля 2025 г. и до 15 апреля 2026 г. представляют в информационную систему отчетность о выполнении самостоятельной утилизации отходов от использования товаров за периоды с 1 января по 31 декабря 2024 г. и с 1 января по 31 декабря 2025 г. соответственно по форме согласно приложению N 3 и (или) уплачивают экологический сбор в размерах и порядке, которые установлены статьей 24.5 Федерального закона &quot;Об отходах производства и потребления&quot;, за исключением товаров, в том числе товаров в упаковке, в о...">
        <w:r>
          <w:rPr>
            <w:sz w:val="24"/>
            <w:color w:val="0000ff"/>
          </w:rPr>
          <w:t xml:space="preserve">"в"</w:t>
        </w:r>
      </w:hyperlink>
      <w:r>
        <w:rPr>
          <w:sz w:val="24"/>
        </w:rPr>
        <w:t xml:space="preserve"> настоящего пункта, в том числе в части соотнесения ввозимых товаров, товаров в упаковке, по наименованиям товарных и упаковочных позиций с кодами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кодами технического </w:t>
      </w:r>
      <w:r>
        <w:rPr>
          <w:sz w:val="24"/>
        </w:rPr>
        <w:t xml:space="preserve">регламента</w:t>
      </w:r>
      <w:r>
        <w:rPr>
          <w:sz w:val="24"/>
        </w:rPr>
        <w:t xml:space="preserve"> Таможенного союза "О безопасности упаковки", с группами товаров, упаковки и наименованиями товаров, упаковки, включенных в перечни товаров, упаковки, и в части корректности определения ввозимых товаров и массы упаковки ввозимых товаров в упаковке, их массы.</w:t>
      </w:r>
    </w:p>
    <w:p>
      <w:pPr>
        <w:pStyle w:val="0"/>
        <w:spacing w:before="240" w:lineRule="auto"/>
        <w:ind w:firstLine="540"/>
        <w:jc w:val="both"/>
      </w:pPr>
      <w:r>
        <w:rPr>
          <w:sz w:val="24"/>
        </w:rPr>
        <w:t xml:space="preserve">Отчетность, предусмотренная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подпунктами "а"</w:t>
        </w:r>
      </w:hyperlink>
      <w:r>
        <w:rPr>
          <w:sz w:val="24"/>
        </w:rPr>
        <w:t xml:space="preserve"> - </w:t>
      </w:r>
      <w:hyperlink w:history="0" w:anchor="P73" w:tooltip="в) до 15 апреля 2025 г. и до 15 апреля 2026 г. представляют в информационную систему отчетность о выполнении самостоятельной утилизации отходов от использования товаров за периоды с 1 января по 31 декабря 2024 г. и с 1 января по 31 декабря 2025 г. соответственно по форме согласно приложению N 3 и (или) уплачивают экологический сбор в размерах и порядке, которые установлены статьей 24.5 Федерального закона &quot;Об отходах производства и потребления&quot;, за исключением товаров, в том числе товаров в упаковке, в о...">
        <w:r>
          <w:rPr>
            <w:sz w:val="24"/>
            <w:color w:val="0000ff"/>
          </w:rPr>
          <w:t xml:space="preserve">"в"</w:t>
        </w:r>
      </w:hyperlink>
      <w:r>
        <w:rPr>
          <w:sz w:val="24"/>
        </w:rPr>
        <w:t xml:space="preserve"> настоящего пункта, представляется в информационную систему посредством электронного сервиса "личный кабинет" такой информационной системы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Импортеры товаров обеспечивают полноту и достоверность сведений, содержащихся в такой отчетности и прилагаемых к ней документах.</w:t>
      </w:r>
    </w:p>
    <w:p>
      <w:pPr>
        <w:pStyle w:val="0"/>
        <w:spacing w:before="240" w:lineRule="auto"/>
        <w:ind w:firstLine="540"/>
        <w:jc w:val="both"/>
      </w:pPr>
      <w:r>
        <w:rPr>
          <w:sz w:val="24"/>
        </w:rPr>
        <w:t xml:space="preserve">10. Федеральная служба по надзору в сфере природопользования:</w:t>
      </w:r>
    </w:p>
    <w:bookmarkStart w:id="82" w:name="P82"/>
    <w:bookmarkEnd w:id="82"/>
    <w:p>
      <w:pPr>
        <w:pStyle w:val="0"/>
        <w:spacing w:before="240" w:lineRule="auto"/>
        <w:ind w:firstLine="540"/>
        <w:jc w:val="both"/>
      </w:pPr>
      <w:r>
        <w:rPr>
          <w:sz w:val="24"/>
        </w:rPr>
        <w:t xml:space="preserve">а) в течение 15 рабочих дней со дня поступления отчетности, предусмотренной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подпунктом "а" пункта 9</w:t>
        </w:r>
      </w:hyperlink>
      <w:r>
        <w:rPr>
          <w:sz w:val="24"/>
        </w:rPr>
        <w:t xml:space="preserve"> настоящего Положения:</w:t>
      </w:r>
    </w:p>
    <w:p>
      <w:pPr>
        <w:pStyle w:val="0"/>
        <w:spacing w:before="240" w:lineRule="auto"/>
        <w:ind w:firstLine="540"/>
        <w:jc w:val="both"/>
      </w:pPr>
      <w:r>
        <w:rPr>
          <w:sz w:val="24"/>
        </w:rPr>
        <w:t xml:space="preserve">проводит проверку правильности заполнения такой отчетности, в том числе соответствие содержащейся в ней информации сведениям, представленным Федеральной таможенной службой в соответствии с </w:t>
      </w:r>
      <w:hyperlink w:history="0" w:anchor="P63" w:tooltip="8. Федеральная таможенная служба в период с 1 сентября 2024 г. по 1 сентября 2025 г. на основании соглашения об информационном взаимодействии, заключенного Федеральной таможенной службой с публично-правовой компанией по формированию комплексной системы обращения с твердыми коммунальными отходами &quot;Российский экологический оператор&quot;, передает в информационную систему информацию о ввезенных из государств, не являющихся членами Евразийского экономического союза, товарах, в том числе товарах в упаковке, преду...">
        <w:r>
          <w:rPr>
            <w:sz w:val="24"/>
            <w:color w:val="0000ff"/>
          </w:rPr>
          <w:t xml:space="preserve">пунктом 8</w:t>
        </w:r>
      </w:hyperlink>
      <w:r>
        <w:rPr>
          <w:sz w:val="24"/>
        </w:rPr>
        <w:t xml:space="preserve"> настоящего Положения;</w:t>
      </w:r>
    </w:p>
    <w:p>
      <w:pPr>
        <w:pStyle w:val="0"/>
        <w:spacing w:before="240" w:lineRule="auto"/>
        <w:ind w:firstLine="540"/>
        <w:jc w:val="both"/>
      </w:pPr>
      <w:r>
        <w:rPr>
          <w:sz w:val="24"/>
        </w:rPr>
        <w:t xml:space="preserve">проводит проверку правильности расчета и уплаты экологического сбора либо наличия копии банковской гарантии или договора поручительства (в случае, если к такой отчетности приложено уведомление о намерении самостоятельной утилизации отходов от использования товаров);</w:t>
      </w:r>
    </w:p>
    <w:p>
      <w:pPr>
        <w:pStyle w:val="0"/>
        <w:spacing w:before="240" w:lineRule="auto"/>
        <w:ind w:firstLine="540"/>
        <w:jc w:val="both"/>
      </w:pPr>
      <w:r>
        <w:rPr>
          <w:sz w:val="24"/>
        </w:rPr>
        <w:t xml:space="preserve">в случае выявления нарушений, в том числе несоответствия сведений, направляет требование импортеру товаров о необходимости устранения выявленных нарушений;</w:t>
      </w:r>
    </w:p>
    <w:p>
      <w:pPr>
        <w:pStyle w:val="0"/>
        <w:jc w:val="both"/>
      </w:pPr>
      <w:r>
        <w:rPr>
          <w:sz w:val="24"/>
        </w:rPr>
        <w:t xml:space="preserve">(в ред. </w:t>
      </w:r>
      <w:r>
        <w:rPr>
          <w:sz w:val="24"/>
        </w:rPr>
        <w:t xml:space="preserve">Постановления</w:t>
      </w:r>
      <w:r>
        <w:rPr>
          <w:sz w:val="24"/>
        </w:rPr>
        <w:t xml:space="preserve"> Правительства РФ от 30.12.2025 N 2228)</w:t>
      </w:r>
    </w:p>
    <w:bookmarkStart w:id="87" w:name="P87"/>
    <w:bookmarkEnd w:id="87"/>
    <w:p>
      <w:pPr>
        <w:pStyle w:val="0"/>
        <w:spacing w:before="240" w:lineRule="auto"/>
        <w:ind w:firstLine="540"/>
        <w:jc w:val="both"/>
      </w:pPr>
      <w:r>
        <w:rPr>
          <w:sz w:val="24"/>
        </w:rPr>
        <w:t xml:space="preserve">б) в течение 10 рабочих дней со дня поступления от Федеральной таможенной службы информации, предусмотренной </w:t>
      </w:r>
      <w:hyperlink w:history="0" w:anchor="P63" w:tooltip="8. Федеральная таможенная служба в период с 1 сентября 2024 г. по 1 сентября 2025 г. на основании соглашения об информационном взаимодействии, заключенного Федеральной таможенной службой с публично-правовой компанией по формированию комплексной системы обращения с твердыми коммунальными отходами &quot;Российский экологический оператор&quot;, передает в информационную систему информацию о ввезенных из государств, не являющихся членами Евразийского экономического союза, товарах, в том числе товарах в упаковке, преду...">
        <w:r>
          <w:rPr>
            <w:sz w:val="24"/>
            <w:color w:val="0000ff"/>
          </w:rPr>
          <w:t xml:space="preserve">абзацем первым пункта 8</w:t>
        </w:r>
      </w:hyperlink>
      <w:r>
        <w:rPr>
          <w:sz w:val="24"/>
        </w:rPr>
        <w:t xml:space="preserve"> настоящего Положения, в информационную систему или в случае, предусмотренном </w:t>
      </w:r>
      <w:hyperlink w:history="0" w:anchor="P64" w:tooltip="До обеспечения технической возможности передачи в информационную систему информации, указанной в абзаце первом настоящего пункта, Федеральная таможенная служба еженедельно представляет в электронном виде указанную информацию в Министерство промышленности и торговли Российской Федерации, Федеральную службу по надзору в сфере природопользования и публично-правовую компанию по формированию комплексной системы обращения с твердыми коммунальными отходами &quot;Российский экологический оператор&quot;.">
        <w:r>
          <w:rPr>
            <w:sz w:val="24"/>
            <w:color w:val="0000ff"/>
          </w:rPr>
          <w:t xml:space="preserve">абзацем вторым пункта 8</w:t>
        </w:r>
      </w:hyperlink>
      <w:r>
        <w:rPr>
          <w:sz w:val="24"/>
        </w:rPr>
        <w:t xml:space="preserve"> настоящего Положения, проводит проверку факта представления импортером товара в информационную систему отчетности, предусмотренной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пунктом "а" пункта 9</w:t>
        </w:r>
      </w:hyperlink>
      <w:r>
        <w:rPr>
          <w:sz w:val="24"/>
        </w:rPr>
        <w:t xml:space="preserve"> настоящего Положения, и в случае выявления факта непредставления указанной отчетности направляет требование импортеру товаров о необходимости выполнения действий, предусмотренных </w:t>
      </w:r>
      <w:hyperlink w:history="0" w:anchor="P68" w:tooltip="уплачивают экологический сбор в размере и порядке, которые установлены статьей 24.5 Федерального закона &quot;Об отходах производства и потребления&quot;, либо при наличии намерения самостоятельной утилизации отходов от использования таких товаров получают банковскую гарантию уплаты денежных сумм в размере экологического сбора или заключают договор поручительства по уплате денежных сумм в размере экологического сбора с юридическим лицом или индивидуальным предпринимателем, осуществляющим утилизацию отходов от испо...">
        <w:r>
          <w:rPr>
            <w:sz w:val="24"/>
            <w:color w:val="0000ff"/>
          </w:rPr>
          <w:t xml:space="preserve">абзацем вторым</w:t>
        </w:r>
      </w:hyperlink>
      <w:r>
        <w:rPr>
          <w:sz w:val="24"/>
        </w:rPr>
        <w:t xml:space="preserve"> и </w:t>
      </w:r>
      <w:hyperlink w:history="0" w:anchor="P69" w:tooltip="представляют в информационную систему отчетность о массе товаров, упаковки, ввезенных из государств, не являющихся членами Евразийского экономического союза, по форме согласно приложению N 2 к Правилам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
        <w:r>
          <w:rPr>
            <w:sz w:val="24"/>
            <w:color w:val="0000ff"/>
          </w:rPr>
          <w:t xml:space="preserve">третьим подпункта "а" пункта 9</w:t>
        </w:r>
      </w:hyperlink>
      <w:r>
        <w:rPr>
          <w:sz w:val="24"/>
        </w:rPr>
        <w:t xml:space="preserve"> настоящего Положения;</w:t>
      </w:r>
    </w:p>
    <w:p>
      <w:pPr>
        <w:pStyle w:val="0"/>
        <w:jc w:val="both"/>
      </w:pPr>
      <w:r>
        <w:rPr>
          <w:sz w:val="24"/>
        </w:rPr>
        <w:t xml:space="preserve">(в ред. </w:t>
      </w:r>
      <w:r>
        <w:rPr>
          <w:sz w:val="24"/>
        </w:rPr>
        <w:t xml:space="preserve">Постановления</w:t>
      </w:r>
      <w:r>
        <w:rPr>
          <w:sz w:val="24"/>
        </w:rPr>
        <w:t xml:space="preserve"> Правительства РФ от 30.12.2025 N 2228)</w:t>
      </w:r>
    </w:p>
    <w:bookmarkStart w:id="89" w:name="P89"/>
    <w:bookmarkEnd w:id="89"/>
    <w:p>
      <w:pPr>
        <w:pStyle w:val="0"/>
        <w:spacing w:before="240" w:lineRule="auto"/>
        <w:ind w:firstLine="540"/>
        <w:jc w:val="both"/>
      </w:pPr>
      <w:r>
        <w:rPr>
          <w:sz w:val="24"/>
        </w:rPr>
        <w:t xml:space="preserve">в) в срок, не превышающий 5 рабочих дней со дня поступления от Министерства промышленности и торговли Российской Федерации информации о выявлении несоответствия заявленных в отчетности, предусмотренной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подпунктом "а" пункта 9</w:t>
        </w:r>
      </w:hyperlink>
      <w:r>
        <w:rPr>
          <w:sz w:val="24"/>
        </w:rPr>
        <w:t xml:space="preserve"> настоящего Положения, наименования и кода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фактически ввезенным товарам, упаковке в соответствии с кодами технического </w:t>
      </w:r>
      <w:r>
        <w:rPr>
          <w:sz w:val="24"/>
        </w:rPr>
        <w:t xml:space="preserve">регламента</w:t>
      </w:r>
      <w:r>
        <w:rPr>
          <w:sz w:val="24"/>
        </w:rPr>
        <w:t xml:space="preserve"> Таможенного союза "О безопасности упаковки", с группами товаров, упаковки и наименованиями товаров, упаковки, включенных в перечни товаров, упаковки, с предложениями по устранению выявленных несоответствий, направляет требование импортеру товаров о необходимости устранения этих нарушений;</w:t>
      </w:r>
    </w:p>
    <w:p>
      <w:pPr>
        <w:pStyle w:val="0"/>
        <w:jc w:val="both"/>
      </w:pPr>
      <w:r>
        <w:rPr>
          <w:sz w:val="24"/>
        </w:rPr>
        <w:t xml:space="preserve">(в ред. </w:t>
      </w:r>
      <w:r>
        <w:rPr>
          <w:sz w:val="24"/>
        </w:rPr>
        <w:t xml:space="preserve">Постановления</w:t>
      </w:r>
      <w:r>
        <w:rPr>
          <w:sz w:val="24"/>
        </w:rPr>
        <w:t xml:space="preserve"> Правительства РФ от 30.12.2025 N 2228)</w:t>
      </w:r>
    </w:p>
    <w:p>
      <w:pPr>
        <w:pStyle w:val="0"/>
        <w:spacing w:before="240" w:lineRule="auto"/>
        <w:ind w:firstLine="540"/>
        <w:jc w:val="both"/>
      </w:pPr>
      <w:r>
        <w:rPr>
          <w:sz w:val="24"/>
        </w:rPr>
        <w:t xml:space="preserve">г) рассматривает отчетность, предусмотренную </w:t>
      </w:r>
      <w:hyperlink w:history="0" w:anchor="P70" w:tooltip="б) до 15 апреля 2025 г. и до 15 апреля 2026 г. представляют в информационную систему отчетность о массе товаров, упаковки, ввезенных из государств, не являющихся членами Евразийского экономического союза, за периоды с 1 января по 31 декабря 2024 г. и с 1 января по 31 декабря 2025 г. соответственно по форме согласно приложению N 2.">
        <w:r>
          <w:rPr>
            <w:sz w:val="24"/>
            <w:color w:val="0000ff"/>
          </w:rPr>
          <w:t xml:space="preserve">подпунктами "б"</w:t>
        </w:r>
      </w:hyperlink>
      <w:r>
        <w:rPr>
          <w:sz w:val="24"/>
        </w:rPr>
        <w:t xml:space="preserve"> и </w:t>
      </w:r>
      <w:hyperlink w:history="0" w:anchor="P73" w:tooltip="в) до 15 апреля 2025 г. и до 15 апреля 2026 г. представляют в информационную систему отчетность о выполнении самостоятельной утилизации отходов от использования товаров за периоды с 1 января по 31 декабря 2024 г. и с 1 января по 31 декабря 2025 г. соответственно по форме согласно приложению N 3 и (или) уплачивают экологический сбор в размерах и порядке, которые установлены статьей 24.5 Федерального закона &quot;Об отходах производства и потребления&quot;, за исключением товаров, в том числе товаров в упаковке, в о...">
        <w:r>
          <w:rPr>
            <w:sz w:val="24"/>
            <w:color w:val="0000ff"/>
          </w:rPr>
          <w:t xml:space="preserve">"в" пункта 9</w:t>
        </w:r>
      </w:hyperlink>
      <w:r>
        <w:rPr>
          <w:sz w:val="24"/>
        </w:rPr>
        <w:t xml:space="preserve"> настоящего Положения, проводит ее проверку, а также проверку расчета и уплаты экологического сбора в соответствии со </w:t>
      </w:r>
      <w:r>
        <w:rPr>
          <w:sz w:val="24"/>
        </w:rPr>
        <w:t xml:space="preserve">статьей 24.2-4</w:t>
      </w:r>
      <w:r>
        <w:rPr>
          <w:sz w:val="24"/>
        </w:rPr>
        <w:t xml:space="preserve"> Федерального закона "Об отходах производства и потребления";</w:t>
      </w:r>
    </w:p>
    <w:bookmarkStart w:id="92" w:name="P92"/>
    <w:bookmarkEnd w:id="92"/>
    <w:p>
      <w:pPr>
        <w:pStyle w:val="0"/>
        <w:spacing w:before="240" w:lineRule="auto"/>
        <w:ind w:firstLine="540"/>
        <w:jc w:val="both"/>
      </w:pPr>
      <w:r>
        <w:rPr>
          <w:sz w:val="24"/>
        </w:rPr>
        <w:t xml:space="preserve">д) в срок до 1 октября 2025 г. направляет в Министерство природных ресурсов и экологии Российской Федерации информацию:</w:t>
      </w:r>
    </w:p>
    <w:p>
      <w:pPr>
        <w:pStyle w:val="0"/>
        <w:spacing w:before="240" w:lineRule="auto"/>
        <w:ind w:firstLine="540"/>
        <w:jc w:val="both"/>
      </w:pPr>
      <w:r>
        <w:rPr>
          <w:sz w:val="24"/>
        </w:rPr>
        <w:t xml:space="preserve">о массе товаров, в том числе товаров в упаковке, указанных в </w:t>
      </w:r>
      <w:hyperlink w:history="0" w:anchor="P59" w:tooltip="6. Действие эксперимента распространяется на:">
        <w:r>
          <w:rPr>
            <w:sz w:val="24"/>
            <w:color w:val="0000ff"/>
          </w:rPr>
          <w:t xml:space="preserve">пункте 6</w:t>
        </w:r>
      </w:hyperlink>
      <w:r>
        <w:rPr>
          <w:sz w:val="24"/>
        </w:rPr>
        <w:t xml:space="preserve"> настоящего Положения, по каждому наименованию товара, упаковки, в отношении которых импортерами товаров представлена отчетность в соответствии с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подпунктом "а" пункта 9</w:t>
        </w:r>
      </w:hyperlink>
      <w:r>
        <w:rPr>
          <w:sz w:val="24"/>
        </w:rPr>
        <w:t xml:space="preserve"> настоящего Положения;</w:t>
      </w:r>
    </w:p>
    <w:p>
      <w:pPr>
        <w:pStyle w:val="0"/>
        <w:spacing w:before="240" w:lineRule="auto"/>
        <w:ind w:firstLine="540"/>
        <w:jc w:val="both"/>
      </w:pPr>
      <w:r>
        <w:rPr>
          <w:sz w:val="24"/>
        </w:rPr>
        <w:t xml:space="preserve">о массе товаров, в том числе товаров в упаковке, указанных в </w:t>
      </w:r>
      <w:hyperlink w:history="0" w:anchor="P59" w:tooltip="6. Действие эксперимента распространяется на:">
        <w:r>
          <w:rPr>
            <w:sz w:val="24"/>
            <w:color w:val="0000ff"/>
          </w:rPr>
          <w:t xml:space="preserve">пункте 6</w:t>
        </w:r>
      </w:hyperlink>
      <w:r>
        <w:rPr>
          <w:sz w:val="24"/>
        </w:rPr>
        <w:t xml:space="preserve"> настоящего Положения, по каждому наименованию товара, упаковки, в целях обеспечения обязанности по утилизации отходов от использования которых, импортерами товаров уплачен экологический сбор, об импортерах товарах, уплативших экологический сбор, с указанием размера уплаченного экологического сбора;</w:t>
      </w:r>
    </w:p>
    <w:p>
      <w:pPr>
        <w:pStyle w:val="0"/>
        <w:spacing w:before="240" w:lineRule="auto"/>
        <w:ind w:firstLine="540"/>
        <w:jc w:val="both"/>
      </w:pPr>
      <w:r>
        <w:rPr>
          <w:sz w:val="24"/>
        </w:rPr>
        <w:t xml:space="preserve">о массе товаров, в том числе товаров в упаковке, указанных в </w:t>
      </w:r>
      <w:hyperlink w:history="0" w:anchor="P59" w:tooltip="6. Действие эксперимента распространяется на:">
        <w:r>
          <w:rPr>
            <w:sz w:val="24"/>
            <w:color w:val="0000ff"/>
          </w:rPr>
          <w:t xml:space="preserve">пункте 6</w:t>
        </w:r>
      </w:hyperlink>
      <w:r>
        <w:rPr>
          <w:sz w:val="24"/>
        </w:rPr>
        <w:t xml:space="preserve"> настоящего Положения, по каждому наименованию товара, упаковки, в отношении которых импортером товаров представлено уведомление о намерении самостоятельной утилизации отходов от использования товаров с приложением копии банковской гарантии, об импортерах товаров, представивших такое уведомление, а также о фактах представления импортерами товаров отчетности, предусмотренной </w:t>
      </w:r>
      <w:hyperlink w:history="0" w:anchor="P70" w:tooltip="б) до 15 апреля 2025 г. и до 15 апреля 2026 г. представляют в информационную систему отчетность о массе товаров, упаковки, ввезенных из государств, не являющихся членами Евразийского экономического союза, за периоды с 1 января по 31 декабря 2024 г. и с 1 января по 31 декабря 2025 г. соответственно по форме согласно приложению N 2.">
        <w:r>
          <w:rPr>
            <w:sz w:val="24"/>
            <w:color w:val="0000ff"/>
          </w:rPr>
          <w:t xml:space="preserve">подпунктами "б"</w:t>
        </w:r>
      </w:hyperlink>
      <w:r>
        <w:rPr>
          <w:sz w:val="24"/>
        </w:rPr>
        <w:t xml:space="preserve"> и </w:t>
      </w:r>
      <w:hyperlink w:history="0" w:anchor="P73" w:tooltip="в) до 15 апреля 2025 г. и до 15 апреля 2026 г. представляют в информационную систему отчетность о выполнении самостоятельной утилизации отходов от использования товаров за периоды с 1 января по 31 декабря 2024 г. и с 1 января по 31 декабря 2025 г. соответственно по форме согласно приложению N 3 и (или) уплачивают экологический сбор в размерах и порядке, которые установлены статьей 24.5 Федерального закона &quot;Об отходах производства и потребления&quot;, за исключением товаров, в том числе товаров в упаковке, в о...">
        <w:r>
          <w:rPr>
            <w:sz w:val="24"/>
            <w:color w:val="0000ff"/>
          </w:rPr>
          <w:t xml:space="preserve">"в" пункта 9</w:t>
        </w:r>
      </w:hyperlink>
      <w:r>
        <w:rPr>
          <w:sz w:val="24"/>
        </w:rPr>
        <w:t xml:space="preserve"> настоящего Положения и подлежащей представлению до 15 апреля 2025 г., и о результатах проверки такой отчетности;</w:t>
      </w:r>
    </w:p>
    <w:p>
      <w:pPr>
        <w:pStyle w:val="0"/>
        <w:spacing w:before="240" w:lineRule="auto"/>
        <w:ind w:firstLine="540"/>
        <w:jc w:val="both"/>
      </w:pPr>
      <w:r>
        <w:rPr>
          <w:sz w:val="24"/>
        </w:rPr>
        <w:t xml:space="preserve">о массе товаров, в том числе товаров в упаковке, указанных в </w:t>
      </w:r>
      <w:hyperlink w:history="0" w:anchor="P59" w:tooltip="6. Действие эксперимента распространяется на:">
        <w:r>
          <w:rPr>
            <w:sz w:val="24"/>
            <w:color w:val="0000ff"/>
          </w:rPr>
          <w:t xml:space="preserve">пункте 6</w:t>
        </w:r>
      </w:hyperlink>
      <w:r>
        <w:rPr>
          <w:sz w:val="24"/>
        </w:rPr>
        <w:t xml:space="preserve"> настоящего Положения, по каждому наименованию товара, упаковки, в отношении которых импортером представлено уведомление о намерении самостоятельной утилизации отходов от использования товаров с приложением копии договора поручительства, об импортерах товаров, представивших такое уведомление, а также о фактах представления импортерами отчетности, предусмотренной </w:t>
      </w:r>
      <w:hyperlink w:history="0" w:anchor="P70" w:tooltip="б) до 15 апреля 2025 г. и до 15 апреля 2026 г. представляют в информационную систему отчетность о массе товаров, упаковки, ввезенных из государств, не являющихся членами Евразийского экономического союза, за периоды с 1 января по 31 декабря 2024 г. и с 1 января по 31 декабря 2025 г. соответственно по форме согласно приложению N 2.">
        <w:r>
          <w:rPr>
            <w:sz w:val="24"/>
            <w:color w:val="0000ff"/>
          </w:rPr>
          <w:t xml:space="preserve">подпунктами "б"</w:t>
        </w:r>
      </w:hyperlink>
      <w:r>
        <w:rPr>
          <w:sz w:val="24"/>
        </w:rPr>
        <w:t xml:space="preserve"> и </w:t>
      </w:r>
      <w:hyperlink w:history="0" w:anchor="P73" w:tooltip="в) до 15 апреля 2025 г. и до 15 апреля 2026 г. представляют в информационную систему отчетность о выполнении самостоятельной утилизации отходов от использования товаров за периоды с 1 января по 31 декабря 2024 г. и с 1 января по 31 декабря 2025 г. соответственно по форме согласно приложению N 3 и (или) уплачивают экологический сбор в размерах и порядке, которые установлены статьей 24.5 Федерального закона &quot;Об отходах производства и потребления&quot;, за исключением товаров, в том числе товаров в упаковке, в о...">
        <w:r>
          <w:rPr>
            <w:sz w:val="24"/>
            <w:color w:val="0000ff"/>
          </w:rPr>
          <w:t xml:space="preserve">"в" пункта 9</w:t>
        </w:r>
      </w:hyperlink>
      <w:r>
        <w:rPr>
          <w:sz w:val="24"/>
        </w:rPr>
        <w:t xml:space="preserve"> настоящего Положения и подлежащей представлению до 15 апреля 2025 г., и о результатах проверки такой отчетности;</w:t>
      </w:r>
    </w:p>
    <w:p>
      <w:pPr>
        <w:pStyle w:val="0"/>
        <w:spacing w:before="240" w:lineRule="auto"/>
        <w:ind w:firstLine="540"/>
        <w:jc w:val="both"/>
      </w:pPr>
      <w:r>
        <w:rPr>
          <w:sz w:val="24"/>
        </w:rPr>
        <w:t xml:space="preserve">о массе товаров, в том числе товаров в упаковке, указанных в </w:t>
      </w:r>
      <w:hyperlink w:history="0" w:anchor="P59" w:tooltip="6. Действие эксперимента распространяется на:">
        <w:r>
          <w:rPr>
            <w:sz w:val="24"/>
            <w:color w:val="0000ff"/>
          </w:rPr>
          <w:t xml:space="preserve">пункте 6</w:t>
        </w:r>
      </w:hyperlink>
      <w:r>
        <w:rPr>
          <w:sz w:val="24"/>
        </w:rPr>
        <w:t xml:space="preserve"> настоящего Положения, по каждому наименованию товара, упаковки, в отношении которых импортером товара было представлено уведомление о намерении самостоятельной утилизации отходов от использования товаров, но такая самостоятельная утилизации не обеспечена, о таких импортерах товаров, об уплате ими экологического сбора в отношении указанных товаров, о фактах предъявления Федеральной службой по надзору в сфере природопользования требований бенефициара об уплате денежной суммы по банковской гарантии или договору поручительства об уплате денежной суммы в счет подлежащего уплате экологического сбора, о результатах рассмотрения таких требований;</w:t>
      </w:r>
    </w:p>
    <w:p>
      <w:pPr>
        <w:pStyle w:val="0"/>
        <w:spacing w:before="240" w:lineRule="auto"/>
        <w:ind w:firstLine="540"/>
        <w:jc w:val="both"/>
      </w:pPr>
      <w:r>
        <w:rPr>
          <w:sz w:val="24"/>
        </w:rPr>
        <w:t xml:space="preserve">об основных нарушениях, выявленных в соответствии с </w:t>
      </w:r>
      <w:hyperlink w:history="0" w:anchor="P82" w:tooltip="а) в течение 15 рабочих дней со дня поступления отчетности, предусмотренной подпунктом &quot;а&quot; пункта 9 настоящего Положения:">
        <w:r>
          <w:rPr>
            <w:sz w:val="24"/>
            <w:color w:val="0000ff"/>
          </w:rPr>
          <w:t xml:space="preserve">подпунктом "а"</w:t>
        </w:r>
      </w:hyperlink>
      <w:r>
        <w:rPr>
          <w:sz w:val="24"/>
        </w:rPr>
        <w:t xml:space="preserve"> настоящего пункта, о количестве таких нарушений, об импортерах товаров, допустивших такие нарушения и результатах устранения выявленных нарушений;</w:t>
      </w:r>
    </w:p>
    <w:p>
      <w:pPr>
        <w:pStyle w:val="0"/>
        <w:spacing w:before="240" w:lineRule="auto"/>
        <w:ind w:firstLine="540"/>
        <w:jc w:val="both"/>
      </w:pPr>
      <w:r>
        <w:rPr>
          <w:sz w:val="24"/>
        </w:rPr>
        <w:t xml:space="preserve">о количестве случаев непредставления импортером товаров отчетности, предусмотренной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подпунктом "а" пункта 9</w:t>
        </w:r>
      </w:hyperlink>
      <w:r>
        <w:rPr>
          <w:sz w:val="24"/>
        </w:rPr>
        <w:t xml:space="preserve"> настоящего Положения, выявленных в соответствии с </w:t>
      </w:r>
      <w:hyperlink w:history="0" w:anchor="P87" w:tooltip="б) в течение 10 рабочих дней со дня поступления от Федеральной таможенной службы информации, предусмотренной абзацем первым пункта 8 настоящего Положения, в информационную систему или в случае, предусмотренном абзацем вторым пункта 8 настоящего Положения, проводит проверку факта представления импортером товара в информационную систему отчетности, предусмотренной пунктом &quot;а&quot; пункта 9 настоящего Положения, и в случае выявления факта непредставления указанной отчетности направляет требование импортеру товар...">
        <w:r>
          <w:rPr>
            <w:sz w:val="24"/>
            <w:color w:val="0000ff"/>
          </w:rPr>
          <w:t xml:space="preserve">подпунктом "б"</w:t>
        </w:r>
      </w:hyperlink>
      <w:r>
        <w:rPr>
          <w:sz w:val="24"/>
        </w:rPr>
        <w:t xml:space="preserve"> настоящего пункта, об импортерах товаров, не представивших такую отчетность, и результатах рассмотрения ими уведомлений о необходимости представления такой отчетности.</w:t>
      </w:r>
    </w:p>
    <w:p>
      <w:pPr>
        <w:pStyle w:val="0"/>
        <w:spacing w:before="240" w:lineRule="auto"/>
        <w:ind w:firstLine="540"/>
        <w:jc w:val="both"/>
      </w:pPr>
      <w:r>
        <w:rPr>
          <w:sz w:val="24"/>
        </w:rPr>
        <w:t xml:space="preserve">11. Министерство промышленности и торговли Российской Федерации:</w:t>
      </w:r>
    </w:p>
    <w:bookmarkStart w:id="101" w:name="P101"/>
    <w:bookmarkEnd w:id="101"/>
    <w:p>
      <w:pPr>
        <w:pStyle w:val="0"/>
        <w:spacing w:before="240" w:lineRule="auto"/>
        <w:ind w:firstLine="540"/>
        <w:jc w:val="both"/>
      </w:pPr>
      <w:r>
        <w:rPr>
          <w:sz w:val="24"/>
        </w:rPr>
        <w:t xml:space="preserve">а) в срок не более 10 рабочих дней со дня поступления от публично-правовой компании по формированию комплексной системы обращения с твердыми коммунальными отходами "Российский экологический оператор" уведомления о поступлении в информационную систему от импортеров товаров отчетности, предусмотренной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подпунктом "а" пункта 9</w:t>
        </w:r>
      </w:hyperlink>
      <w:r>
        <w:rPr>
          <w:sz w:val="24"/>
        </w:rPr>
        <w:t xml:space="preserve"> настоящего Положения, осуществляет рассмотрение такой отчетности, а также информации, представленной Федеральной таможенной службой в соответствии с </w:t>
      </w:r>
      <w:hyperlink w:history="0" w:anchor="P63" w:tooltip="8. Федеральная таможенная служба в период с 1 сентября 2024 г. по 1 сентября 2025 г. на основании соглашения об информационном взаимодействии, заключенного Федеральной таможенной службой с публично-правовой компанией по формированию комплексной системы обращения с твердыми коммунальными отходами &quot;Российский экологический оператор&quot;, передает в информационную систему информацию о ввезенных из государств, не являющихся членами Евразийского экономического союза, товарах, в том числе товарах в упаковке, преду...">
        <w:r>
          <w:rPr>
            <w:sz w:val="24"/>
            <w:color w:val="0000ff"/>
          </w:rPr>
          <w:t xml:space="preserve">пунктом 8</w:t>
        </w:r>
      </w:hyperlink>
      <w:r>
        <w:rPr>
          <w:sz w:val="24"/>
        </w:rPr>
        <w:t xml:space="preserve"> настоящего Положения, в части корректности соотнесения товаров, упаковки по наименованиям и кодам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с кодами технического </w:t>
      </w:r>
      <w:r>
        <w:rPr>
          <w:sz w:val="24"/>
        </w:rPr>
        <w:t xml:space="preserve">регламента</w:t>
      </w:r>
      <w:r>
        <w:rPr>
          <w:sz w:val="24"/>
        </w:rPr>
        <w:t xml:space="preserve"> Таможенного союза "О безопасности упаковки", группами товаров, упаковки и наименованиями товаров, упаковки, включенных в перечни товаров, упаковки.</w:t>
      </w:r>
    </w:p>
    <w:p>
      <w:pPr>
        <w:pStyle w:val="0"/>
        <w:spacing w:before="240" w:lineRule="auto"/>
        <w:ind w:firstLine="540"/>
        <w:jc w:val="both"/>
      </w:pPr>
      <w:r>
        <w:rPr>
          <w:sz w:val="24"/>
        </w:rPr>
        <w:t xml:space="preserve">В случае выявления несоответствия заявленных в отчетности, предусмотренной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подпунктом "а" пункта 9</w:t>
        </w:r>
      </w:hyperlink>
      <w:r>
        <w:rPr>
          <w:sz w:val="24"/>
        </w:rPr>
        <w:t xml:space="preserve"> настоящего Положения, наименования и кода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фактически ввезенных товара, упаковки кодам технического </w:t>
      </w:r>
      <w:r>
        <w:rPr>
          <w:sz w:val="24"/>
        </w:rPr>
        <w:t xml:space="preserve">регламента</w:t>
      </w:r>
      <w:r>
        <w:rPr>
          <w:sz w:val="24"/>
        </w:rPr>
        <w:t xml:space="preserve"> Таможенного союза "О безопасности упаковки", группам товаров, упаковки и наименованиям товаров, упаковки, включенных в перечни товаров, упаковки, направляет в срок, указанный в </w:t>
      </w:r>
      <w:hyperlink w:history="0" w:anchor="P101" w:tooltip="а) в срок не более 10 рабочих дней со дня поступления от публично-правовой компании по формированию комплексной системы обращения с твердыми коммунальными отходами &quot;Российский экологический оператор&quot; уведомления о поступлении в информационную систему от импортеров товаров отчетности, предусмотренной подпунктом &quot;а&quot; пункта 9 настоящего Положения, осуществляет рассмотрение такой отчетности, а также информации, представленной Федеральной таможенной службой в соответствии с пунктом 8 настоящего Положения, в ч...">
        <w:r>
          <w:rPr>
            <w:sz w:val="24"/>
            <w:color w:val="0000ff"/>
          </w:rPr>
          <w:t xml:space="preserve">абзаце первом</w:t>
        </w:r>
      </w:hyperlink>
      <w:r>
        <w:rPr>
          <w:sz w:val="24"/>
        </w:rPr>
        <w:t xml:space="preserve"> настоящего подпункта, соответствующую информацию в Федеральную службу по надзору в сфере природопользования с предложениями по устранению выявленных несоответствий;</w:t>
      </w:r>
    </w:p>
    <w:bookmarkStart w:id="103" w:name="P103"/>
    <w:bookmarkEnd w:id="103"/>
    <w:p>
      <w:pPr>
        <w:pStyle w:val="0"/>
        <w:spacing w:before="240" w:lineRule="auto"/>
        <w:ind w:firstLine="540"/>
        <w:jc w:val="both"/>
      </w:pPr>
      <w:r>
        <w:rPr>
          <w:sz w:val="24"/>
        </w:rPr>
        <w:t xml:space="preserve">б) в срок до 1 октября 2025 г. направляет в Министерство природных ресурсов и экологии Российской Федерации информацию о видах и количестве выявленных несоответствий заявленных в отчетности, предусмотренной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подпунктом "а" пункта 9</w:t>
        </w:r>
      </w:hyperlink>
      <w:r>
        <w:rPr>
          <w:sz w:val="24"/>
        </w:rPr>
        <w:t xml:space="preserve"> настоящего Положения, наименования и кода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фактически ввезенных товаров, упаковки кодам технического </w:t>
      </w:r>
      <w:r>
        <w:rPr>
          <w:sz w:val="24"/>
        </w:rPr>
        <w:t xml:space="preserve">регламента</w:t>
      </w:r>
      <w:r>
        <w:rPr>
          <w:sz w:val="24"/>
        </w:rPr>
        <w:t xml:space="preserve"> Таможенного союза "О безопасности упаковки", группам товаров, упаковки и наименованиям товаров, упаковки, включенных в перечни товаров, упаковки, об импортерах товарах, в отчетностях которых выявлены эти несоответствия.</w:t>
      </w:r>
    </w:p>
    <w:p>
      <w:pPr>
        <w:pStyle w:val="0"/>
        <w:spacing w:before="240" w:lineRule="auto"/>
        <w:ind w:firstLine="540"/>
        <w:jc w:val="both"/>
      </w:pPr>
      <w:r>
        <w:rPr>
          <w:sz w:val="24"/>
        </w:rPr>
        <w:t xml:space="preserve">12. Публично-правовая компания по формированию комплексной системы обращения с твердыми коммунальными отходами "Российский экологический оператор" на безвозмездной основе участвует в эксперименте в качестве оператора информационной системы, в том числе:</w:t>
      </w:r>
    </w:p>
    <w:p>
      <w:pPr>
        <w:pStyle w:val="0"/>
        <w:spacing w:before="240" w:lineRule="auto"/>
        <w:ind w:firstLine="540"/>
        <w:jc w:val="both"/>
      </w:pPr>
      <w:r>
        <w:rPr>
          <w:sz w:val="24"/>
        </w:rPr>
        <w:t xml:space="preserve">обеспечивает техническую возможность подачи сведений и документов участниками эксперимента в информационную систему в соответствии с настоящим Положением, а также доступ к указанным сведениям и документам федеральным органам исполнительной власти - участникам эксперимента, указанным в </w:t>
      </w:r>
      <w:hyperlink w:history="0" w:anchor="P53" w:tooltip="Министерство природных ресурсов и экологии Российской Федерации;">
        <w:r>
          <w:rPr>
            <w:sz w:val="24"/>
            <w:color w:val="0000ff"/>
          </w:rPr>
          <w:t xml:space="preserve">абзацах втором</w:t>
        </w:r>
      </w:hyperlink>
      <w:r>
        <w:rPr>
          <w:sz w:val="24"/>
        </w:rPr>
        <w:t xml:space="preserve"> - </w:t>
      </w:r>
      <w:hyperlink w:history="0" w:anchor="P56" w:tooltip="Федеральная таможенная служба;">
        <w:r>
          <w:rPr>
            <w:sz w:val="24"/>
            <w:color w:val="0000ff"/>
          </w:rPr>
          <w:t xml:space="preserve">пятом пункта 4</w:t>
        </w:r>
      </w:hyperlink>
      <w:r>
        <w:rPr>
          <w:sz w:val="24"/>
        </w:rPr>
        <w:t xml:space="preserve"> настоящего Положения;</w:t>
      </w:r>
    </w:p>
    <w:p>
      <w:pPr>
        <w:pStyle w:val="0"/>
        <w:spacing w:before="240" w:lineRule="auto"/>
        <w:ind w:firstLine="540"/>
        <w:jc w:val="both"/>
      </w:pPr>
      <w:r>
        <w:rPr>
          <w:sz w:val="24"/>
        </w:rPr>
        <w:t xml:space="preserve">в срок, не превышающий 1 рабочего дня со дня поступления в информационную систему отчетности, предусмотренной </w:t>
      </w:r>
      <w:hyperlink w:history="0" w:anchor="P67" w:tooltip="а) до дня выпуска таможенным органом для внутреннего потребления таких товаров, в том числе товаров в упаковке, ввезенных в период с 1 сентября 2024 г. по 1 сентября 2025 г.:">
        <w:r>
          <w:rPr>
            <w:sz w:val="24"/>
            <w:color w:val="0000ff"/>
          </w:rPr>
          <w:t xml:space="preserve">подпунктом "а" пункта 9</w:t>
        </w:r>
      </w:hyperlink>
      <w:r>
        <w:rPr>
          <w:sz w:val="24"/>
        </w:rPr>
        <w:t xml:space="preserve"> настоящего Положения, а также информации, представленной Федеральной таможенной службой в соответствии с </w:t>
      </w:r>
      <w:hyperlink w:history="0" w:anchor="P63" w:tooltip="8. Федеральная таможенная служба в период с 1 сентября 2024 г. по 1 сентября 2025 г. на основании соглашения об информационном взаимодействии, заключенного Федеральной таможенной службой с публично-правовой компанией по формированию комплексной системы обращения с твердыми коммунальными отходами &quot;Российский экологический оператор&quot;, передает в информационную систему информацию о ввезенных из государств, не являющихся членами Евразийского экономического союза, товарах, в том числе товарах в упаковке, преду...">
        <w:r>
          <w:rPr>
            <w:sz w:val="24"/>
            <w:color w:val="0000ff"/>
          </w:rPr>
          <w:t xml:space="preserve">абзацем первым пункта 8</w:t>
        </w:r>
      </w:hyperlink>
      <w:r>
        <w:rPr>
          <w:sz w:val="24"/>
        </w:rPr>
        <w:t xml:space="preserve"> настоящего Положения, направляет в Министерство промышленности и торговли Российской Федерации уведомление о поступлении в информационную систему указанных отчетности и (или) информации;</w:t>
      </w:r>
    </w:p>
    <w:bookmarkStart w:id="107" w:name="P107"/>
    <w:bookmarkEnd w:id="107"/>
    <w:p>
      <w:pPr>
        <w:pStyle w:val="0"/>
        <w:spacing w:before="240" w:lineRule="auto"/>
        <w:ind w:firstLine="540"/>
        <w:jc w:val="both"/>
      </w:pPr>
      <w:r>
        <w:rPr>
          <w:sz w:val="24"/>
        </w:rPr>
        <w:t xml:space="preserve">в срок до 15 сентября 2025 г. направляет в Министерство природных ресурсов и экологии Российской Федерации информацию о технических проблемах при подаче сведений и документов участниками эксперимента (при наличии).</w:t>
      </w:r>
    </w:p>
    <w:p>
      <w:pPr>
        <w:pStyle w:val="0"/>
        <w:spacing w:before="240" w:lineRule="auto"/>
        <w:ind w:firstLine="540"/>
        <w:jc w:val="both"/>
      </w:pPr>
      <w:r>
        <w:rPr>
          <w:sz w:val="24"/>
        </w:rPr>
        <w:t xml:space="preserve">13. Министерство природных ресурсов и экологии Российской Федерации:</w:t>
      </w:r>
    </w:p>
    <w:p>
      <w:pPr>
        <w:pStyle w:val="0"/>
        <w:spacing w:before="240" w:lineRule="auto"/>
        <w:ind w:firstLine="540"/>
        <w:jc w:val="both"/>
      </w:pPr>
      <w:r>
        <w:rPr>
          <w:sz w:val="24"/>
        </w:rPr>
        <w:t xml:space="preserve">а) обеспечивает координацию проведения эксперимента;</w:t>
      </w:r>
    </w:p>
    <w:p>
      <w:pPr>
        <w:pStyle w:val="0"/>
        <w:spacing w:before="240" w:lineRule="auto"/>
        <w:ind w:firstLine="540"/>
        <w:jc w:val="both"/>
      </w:pPr>
      <w:r>
        <w:rPr>
          <w:sz w:val="24"/>
        </w:rPr>
        <w:t xml:space="preserve">б) в срок до 1 ноября 2025 г. совместно с Министерством промышленности и торговли Российской Федерации, Федеральной службой по надзору в сфере природопользования и публично-правовой компанией по формированию комплексной системы обращения с твердыми коммунальными отходами "Российский экологический оператор" обеспечивает анализ информации, указанной в </w:t>
      </w:r>
      <w:hyperlink w:history="0" w:anchor="P79" w:tooltip="е) в срок до 15 сентября 2025 г. представляют в Министерство природных ресурсов и экологии Российской Федерации в бумажном или электронном виде информацию (при наличии) о проблемных вопросах, возникающих при формировании и представлении в информационную систему отчетности, предусмотренной подпунктами &quot;а&quot; - &quot;в&quot; настоящего пункта, в том числе в части соотнесения ввозимых товаров, товаров в упаковке, по наименованиям товарных и упаковочных позиций с кодами единой Товарной номенклатуры внешнеэкономической де...">
        <w:r>
          <w:rPr>
            <w:sz w:val="24"/>
            <w:color w:val="0000ff"/>
          </w:rPr>
          <w:t xml:space="preserve">подпункте "е" пункта 9</w:t>
        </w:r>
      </w:hyperlink>
      <w:r>
        <w:rPr>
          <w:sz w:val="24"/>
        </w:rPr>
        <w:t xml:space="preserve">, </w:t>
      </w:r>
      <w:hyperlink w:history="0" w:anchor="P92" w:tooltip="д) в срок до 1 октября 2025 г. направляет в Министерство природных ресурсов и экологии Российской Федерации информацию:">
        <w:r>
          <w:rPr>
            <w:sz w:val="24"/>
            <w:color w:val="0000ff"/>
          </w:rPr>
          <w:t xml:space="preserve">подпункте "д" пункта 10</w:t>
        </w:r>
      </w:hyperlink>
      <w:r>
        <w:rPr>
          <w:sz w:val="24"/>
        </w:rPr>
        <w:t xml:space="preserve">, </w:t>
      </w:r>
      <w:hyperlink w:history="0" w:anchor="P103" w:tooltip="б) в срок до 1 октября 2025 г. направляет в Министерство природных ресурсов и экологии Российской Федерации информацию о видах и количестве выявленных несоответствий заявленных в отчетности, предусмотренной подпунктом &quot;а&quot; пункта 9 настоящего Положения, наименования и кода единой Товарной номенклатуры внешнеэкономической деятельности Евразийского экономического союза фактически ввезенных товаров, упаковки кодам технического регламента Таможенного союза &quot;О безопасности упаковки&quot;, группам товаров, упаковки ...">
        <w:r>
          <w:rPr>
            <w:sz w:val="24"/>
            <w:color w:val="0000ff"/>
          </w:rPr>
          <w:t xml:space="preserve">подпункте "б" пункта 11</w:t>
        </w:r>
      </w:hyperlink>
      <w:r>
        <w:rPr>
          <w:sz w:val="24"/>
        </w:rPr>
        <w:t xml:space="preserve"> и </w:t>
      </w:r>
      <w:hyperlink w:history="0" w:anchor="P107" w:tooltip="в срок до 15 сентября 2025 г. направляет в Министерство природных ресурсов и экологии Российской Федерации информацию о технических проблемах при подаче сведений и документов участниками эксперимента (при наличии).">
        <w:r>
          <w:rPr>
            <w:sz w:val="24"/>
            <w:color w:val="0000ff"/>
          </w:rPr>
          <w:t xml:space="preserve">абзаце четвертом пункта 12</w:t>
        </w:r>
      </w:hyperlink>
      <w:r>
        <w:rPr>
          <w:sz w:val="24"/>
        </w:rPr>
        <w:t xml:space="preserve"> настоящего Положения, и представляет согласованный с указанными федеральными органами исполнительной власти, в том числе Федеральной таможенной службой, и указанной публично-правовой компанией доклад о результатах эксперимента в Правительство Российской Федерации с предложениями по дальнейшему обеспечению импортерами товаров требований, установленных </w:t>
      </w:r>
      <w:r>
        <w:rPr>
          <w:sz w:val="24"/>
        </w:rPr>
        <w:t xml:space="preserve">подпунктом 2 пункта 2</w:t>
      </w:r>
      <w:r>
        <w:rPr>
          <w:sz w:val="24"/>
        </w:rPr>
        <w:t xml:space="preserve">, </w:t>
      </w:r>
      <w:r>
        <w:rPr>
          <w:sz w:val="24"/>
        </w:rPr>
        <w:t xml:space="preserve">пунктами 10</w:t>
      </w:r>
      <w:r>
        <w:rPr>
          <w:sz w:val="24"/>
        </w:rPr>
        <w:t xml:space="preserve"> и </w:t>
      </w:r>
      <w:r>
        <w:rPr>
          <w:sz w:val="24"/>
        </w:rPr>
        <w:t xml:space="preserve">18 статьи 24.2-1</w:t>
      </w:r>
      <w:r>
        <w:rPr>
          <w:sz w:val="24"/>
        </w:rPr>
        <w:t xml:space="preserve">, </w:t>
      </w:r>
      <w:r>
        <w:rPr>
          <w:sz w:val="24"/>
        </w:rPr>
        <w:t xml:space="preserve">пунктов 3</w:t>
      </w:r>
      <w:r>
        <w:rPr>
          <w:sz w:val="24"/>
        </w:rPr>
        <w:t xml:space="preserve"> и </w:t>
      </w:r>
      <w:r>
        <w:rPr>
          <w:sz w:val="24"/>
        </w:rPr>
        <w:t xml:space="preserve">12 статьи 24.5</w:t>
      </w:r>
      <w:r>
        <w:rPr>
          <w:sz w:val="24"/>
        </w:rPr>
        <w:t xml:space="preserve"> Федерального закона "Об отходах производства и потребления".</w:t>
      </w:r>
    </w:p>
    <w:p>
      <w:pPr>
        <w:pStyle w:val="0"/>
        <w:spacing w:before="240" w:lineRule="auto"/>
        <w:ind w:firstLine="540"/>
        <w:jc w:val="both"/>
      </w:pPr>
      <w:r>
        <w:rPr>
          <w:sz w:val="24"/>
        </w:rPr>
        <w:t xml:space="preserve">14. Отсутствие у таможенных органов информации о совершении импортером товаров действий, предусмотренных </w:t>
      </w:r>
      <w:hyperlink w:history="0" w:anchor="P66" w:tooltip="9. Импортеры товаров, в том числе товаров в упаковке, указанных в пункте 6 настоящего Положения:">
        <w:r>
          <w:rPr>
            <w:sz w:val="24"/>
            <w:color w:val="0000ff"/>
          </w:rPr>
          <w:t xml:space="preserve">пунктом 9</w:t>
        </w:r>
      </w:hyperlink>
      <w:r>
        <w:rPr>
          <w:sz w:val="24"/>
        </w:rPr>
        <w:t xml:space="preserve"> настоящего Положения, не является основанием для отказа в регистрации декларации на товары и в выпуске товаров для внутреннего потребления.</w:t>
      </w:r>
    </w:p>
    <w:p>
      <w:pPr>
        <w:pStyle w:val="0"/>
        <w:spacing w:before="240" w:lineRule="auto"/>
        <w:ind w:firstLine="540"/>
        <w:jc w:val="both"/>
      </w:pPr>
      <w:r>
        <w:rPr>
          <w:sz w:val="24"/>
        </w:rPr>
        <w:t xml:space="preserve">15. Информационное взаимодействие оператора информационной системы и участников эксперимента, а также представление информации в информационную систему осуществляются в соответствии с </w:t>
      </w:r>
      <w:r>
        <w:rPr>
          <w:sz w:val="24"/>
        </w:rPr>
        <w:t xml:space="preserve">Положением</w:t>
      </w:r>
      <w:r>
        <w:rPr>
          <w:sz w:val="24"/>
        </w:rPr>
        <w:t xml:space="preserve"> о единой федеральной государственной информационной системе учета отходов от использования товаров, утвержденным постановлением Правительства Российской Федерации от 13 мая 2022 г. N 868 "О единой федеральной государственной информационной системе учета отходов от использования товаров".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Положению о проведении эксперимента</w:t>
      </w:r>
    </w:p>
    <w:p>
      <w:pPr>
        <w:pStyle w:val="0"/>
        <w:jc w:val="right"/>
      </w:pPr>
      <w:r>
        <w:rPr>
          <w:sz w:val="24"/>
        </w:rPr>
        <w:t xml:space="preserve">в отношении отдельных групп товаров,</w:t>
      </w:r>
    </w:p>
    <w:p>
      <w:pPr>
        <w:pStyle w:val="0"/>
        <w:jc w:val="right"/>
      </w:pPr>
      <w:r>
        <w:rPr>
          <w:sz w:val="24"/>
        </w:rPr>
        <w:t xml:space="preserve">в том числе товаров в упаковке</w:t>
      </w:r>
    </w:p>
    <w:p>
      <w:pPr>
        <w:pStyle w:val="0"/>
        <w:jc w:val="both"/>
      </w:pPr>
      <w:r>
        <w:rPr>
          <w:sz w:val="24"/>
        </w:rPr>
      </w:r>
    </w:p>
    <w:bookmarkStart w:id="123" w:name="P123"/>
    <w:bookmarkEnd w:id="123"/>
    <w:p>
      <w:pPr>
        <w:pStyle w:val="2"/>
        <w:jc w:val="center"/>
      </w:pPr>
      <w:r>
        <w:rPr>
          <w:sz w:val="24"/>
        </w:rPr>
        <w:t xml:space="preserve">ПЕРЕЧЕНЬ</w:t>
      </w:r>
    </w:p>
    <w:p>
      <w:pPr>
        <w:pStyle w:val="2"/>
        <w:jc w:val="center"/>
      </w:pPr>
      <w:r>
        <w:rPr>
          <w:sz w:val="24"/>
        </w:rPr>
        <w:t xml:space="preserve">ОТДЕЛЬНЫХ ВИДОВ ТОВАРОВ, ТОМ ЧИСЛЕ ТОВАРОВ В УПАКОВКЕ,</w:t>
      </w:r>
    </w:p>
    <w:p>
      <w:pPr>
        <w:pStyle w:val="2"/>
        <w:jc w:val="center"/>
      </w:pPr>
      <w:r>
        <w:rPr>
          <w:sz w:val="24"/>
        </w:rPr>
        <w:t xml:space="preserve">УЧАСТВУЮЩИХ В ЭКСПЕРИМЕНТЕ </w:t>
      </w:r>
      <w:hyperlink w:history="0" w:anchor="P184" w:tooltip="&lt;1&gt; При идентификации товаров, упаковки рекомендуется использовать код единой Товарной номенклатуры внешнеэкономической деятельности Евразийского экономического союза (ТН ВЭД ЕАЭС) и наименование групп товаров, упаковки, включенных в перечни товаров, упаковки, отходы от использования которых подлежат утилизации, утвержденные постановлением Правительства Российской Федерации от 29 декабря 2023 г. N 2414 &quot;Об утверждении перечней товаров, упаковки, отходы от использования которых подлежат утилизации, и норм...">
        <w:r>
          <w:rPr>
            <w:sz w:val="24"/>
            <w:color w:val="0000ff"/>
          </w:rPr>
          <w:t xml:space="preserve">&lt;1&gt;</w:t>
        </w:r>
      </w:hyperlink>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891"/>
        <w:gridCol w:w="2268"/>
        <w:gridCol w:w="3912"/>
      </w:tblGrid>
      <w:tr>
        <w:tblPrEx>
          <w:tblBorders>
            <w:insideV w:val="single" w:sz="4"/>
            <w:insideH w:val="single" w:sz="4"/>
          </w:tblBorders>
        </w:tblPrEx>
        <w:tc>
          <w:tcPr>
            <w:tcW w:w="2891" w:type="dxa"/>
            <w:tcBorders>
              <w:top w:val="single" w:sz="4"/>
              <w:left w:val="nil"/>
              <w:bottom w:val="single" w:sz="4"/>
            </w:tcBorders>
          </w:tcPr>
          <w:p>
            <w:pPr>
              <w:pStyle w:val="0"/>
              <w:jc w:val="center"/>
            </w:pPr>
            <w:r>
              <w:rPr>
                <w:sz w:val="24"/>
              </w:rPr>
              <w:t xml:space="preserve">Наименование группы товара, упаковки </w:t>
            </w:r>
            <w:hyperlink w:history="0" w:anchor="P185" w:tooltip="&lt;2&gt; Наименование групп товаров, упаковки, включенных в перечни товаров, упаковки, отходы от использования которых подлежат утилизации, утвержденные постановлением Правительства Российской Федерации от 29 декабря 2023 г. N 2414 &quot;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упаковки&quot;.">
              <w:r>
                <w:rPr>
                  <w:sz w:val="24"/>
                  <w:color w:val="0000ff"/>
                </w:rPr>
                <w:t xml:space="preserve">&lt;2&gt;</w:t>
              </w:r>
            </w:hyperlink>
          </w:p>
        </w:tc>
        <w:tc>
          <w:tcPr>
            <w:tcW w:w="2268" w:type="dxa"/>
            <w:tcBorders>
              <w:top w:val="single" w:sz="4"/>
              <w:bottom w:val="single" w:sz="4"/>
            </w:tcBorders>
          </w:tcPr>
          <w:p>
            <w:pPr>
              <w:pStyle w:val="0"/>
              <w:jc w:val="center"/>
            </w:pPr>
            <w:r>
              <w:rPr>
                <w:sz w:val="24"/>
              </w:rPr>
              <w:t xml:space="preserve">Код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w:t>
            </w:r>
          </w:p>
        </w:tc>
        <w:tc>
          <w:tcPr>
            <w:tcW w:w="3912" w:type="dxa"/>
            <w:tcBorders>
              <w:top w:val="single" w:sz="4"/>
              <w:bottom w:val="single" w:sz="4"/>
              <w:right w:val="nil"/>
            </w:tcBorders>
          </w:tcPr>
          <w:p>
            <w:pPr>
              <w:pStyle w:val="0"/>
              <w:jc w:val="center"/>
            </w:pPr>
            <w:r>
              <w:rPr>
                <w:sz w:val="24"/>
              </w:rPr>
              <w:t xml:space="preserve">Наименование позиции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w:t>
            </w:r>
          </w:p>
        </w:tc>
      </w:tr>
      <w:tr>
        <w:tc>
          <w:tcPr>
            <w:tcW w:w="2891" w:type="dxa"/>
            <w:tcBorders>
              <w:top w:val="single" w:sz="4"/>
              <w:left w:val="nil"/>
              <w:bottom w:val="nil"/>
              <w:right w:val="nil"/>
            </w:tcBorders>
          </w:tcPr>
          <w:p>
            <w:pPr>
              <w:pStyle w:val="0"/>
            </w:pPr>
            <w:r>
              <w:rPr>
                <w:sz w:val="24"/>
              </w:rPr>
              <w:t xml:space="preserve">Группа N 1 "Одежда и изделия текстильные"</w:t>
            </w:r>
          </w:p>
        </w:tc>
        <w:tc>
          <w:tcPr>
            <w:tcW w:w="2268" w:type="dxa"/>
            <w:tcBorders>
              <w:top w:val="single" w:sz="4"/>
              <w:left w:val="nil"/>
              <w:bottom w:val="nil"/>
              <w:right w:val="nil"/>
            </w:tcBorders>
          </w:tcPr>
          <w:p>
            <w:pPr>
              <w:pStyle w:val="0"/>
              <w:jc w:val="center"/>
            </w:pPr>
            <w:r>
              <w:rPr>
                <w:sz w:val="24"/>
              </w:rPr>
              <w:t xml:space="preserve">6103 49 000 1</w:t>
            </w:r>
          </w:p>
        </w:tc>
        <w:tc>
          <w:tcPr>
            <w:tcW w:w="3912" w:type="dxa"/>
            <w:tcBorders>
              <w:top w:val="single" w:sz="4"/>
              <w:left w:val="nil"/>
              <w:bottom w:val="nil"/>
              <w:right w:val="nil"/>
            </w:tcBorders>
          </w:tcPr>
          <w:p>
            <w:pPr>
              <w:pStyle w:val="0"/>
            </w:pPr>
            <w:r>
              <w:rPr>
                <w:sz w:val="24"/>
              </w:rPr>
              <w:t xml:space="preserve">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p>
            <w:pPr>
              <w:pStyle w:val="0"/>
            </w:pPr>
            <w:r>
              <w:rPr>
                <w:sz w:val="24"/>
              </w:rPr>
              <w:t xml:space="preserve">из прочих текстильных материалов: брюки и бриджи</w:t>
            </w:r>
          </w:p>
        </w:tc>
      </w:tr>
      <w:tr>
        <w:tc>
          <w:tcPr>
            <w:tcW w:w="2891" w:type="dxa"/>
            <w:tcBorders>
              <w:top w:val="nil"/>
              <w:left w:val="nil"/>
              <w:bottom w:val="nil"/>
              <w:right w:val="nil"/>
            </w:tcBorders>
          </w:tcPr>
          <w:p>
            <w:pPr>
              <w:pStyle w:val="0"/>
            </w:pPr>
            <w:r>
              <w:rPr>
                <w:sz w:val="24"/>
              </w:rPr>
              <w:t xml:space="preserve">Группа N 5 "Шины, покрышки, камеры резиновые и изделия из резины прочие"</w:t>
            </w:r>
          </w:p>
        </w:tc>
        <w:tc>
          <w:tcPr>
            <w:tcW w:w="2268" w:type="dxa"/>
            <w:tcBorders>
              <w:top w:val="nil"/>
              <w:left w:val="nil"/>
              <w:bottom w:val="nil"/>
              <w:right w:val="nil"/>
            </w:tcBorders>
          </w:tcPr>
          <w:p>
            <w:pPr>
              <w:pStyle w:val="0"/>
            </w:pPr>
            <w:r>
              <w:rPr>
                <w:sz w:val="24"/>
              </w:rPr>
            </w:r>
          </w:p>
        </w:tc>
        <w:tc>
          <w:tcPr>
            <w:tcW w:w="3912" w:type="dxa"/>
            <w:tcBorders>
              <w:top w:val="nil"/>
              <w:left w:val="nil"/>
              <w:bottom w:val="nil"/>
              <w:right w:val="nil"/>
            </w:tcBorders>
          </w:tcPr>
          <w:p>
            <w:pPr>
              <w:pStyle w:val="0"/>
            </w:pPr>
            <w:r>
              <w:rPr>
                <w:sz w:val="24"/>
              </w:rPr>
              <w:t xml:space="preserve">Шины и покрышки пневматические резиновые новые:</w:t>
            </w:r>
          </w:p>
        </w:tc>
      </w:tr>
      <w:tr>
        <w:tc>
          <w:tcPr>
            <w:tcW w:w="2891" w:type="dxa"/>
            <w:tcBorders>
              <w:top w:val="nil"/>
              <w:left w:val="nil"/>
              <w:bottom w:val="nil"/>
              <w:right w:val="nil"/>
            </w:tcBorders>
          </w:tcPr>
          <w:p>
            <w:pPr>
              <w:pStyle w:val="0"/>
            </w:pPr>
            <w:r>
              <w:rPr>
                <w:sz w:val="24"/>
              </w:rPr>
            </w:r>
          </w:p>
        </w:tc>
        <w:tc>
          <w:tcPr>
            <w:tcW w:w="2268" w:type="dxa"/>
            <w:tcBorders>
              <w:top w:val="nil"/>
              <w:left w:val="nil"/>
              <w:bottom w:val="nil"/>
              <w:right w:val="nil"/>
            </w:tcBorders>
          </w:tcPr>
          <w:p>
            <w:pPr>
              <w:pStyle w:val="0"/>
              <w:jc w:val="center"/>
            </w:pPr>
            <w:r>
              <w:rPr>
                <w:sz w:val="24"/>
              </w:rPr>
              <w:t xml:space="preserve">4011 10 000</w:t>
            </w:r>
          </w:p>
        </w:tc>
        <w:tc>
          <w:tcPr>
            <w:tcW w:w="3912" w:type="dxa"/>
            <w:tcBorders>
              <w:top w:val="nil"/>
              <w:left w:val="nil"/>
              <w:bottom w:val="nil"/>
              <w:right w:val="nil"/>
            </w:tcBorders>
          </w:tcPr>
          <w:p>
            <w:pPr>
              <w:pStyle w:val="0"/>
            </w:pPr>
            <w:r>
              <w:rPr>
                <w:sz w:val="24"/>
              </w:rPr>
              <w:t xml:space="preserve">для легковых автомобилей (включая грузопассажирские автомобили-фургоны и спортивные автомобили)</w:t>
            </w:r>
          </w:p>
        </w:tc>
      </w:tr>
      <w:tr>
        <w:tc>
          <w:tcPr>
            <w:tcW w:w="2891" w:type="dxa"/>
            <w:tcBorders>
              <w:top w:val="nil"/>
              <w:left w:val="nil"/>
              <w:bottom w:val="nil"/>
              <w:right w:val="nil"/>
            </w:tcBorders>
          </w:tcPr>
          <w:p>
            <w:pPr>
              <w:pStyle w:val="0"/>
            </w:pPr>
            <w:r>
              <w:rPr>
                <w:sz w:val="24"/>
              </w:rPr>
            </w:r>
          </w:p>
        </w:tc>
        <w:tc>
          <w:tcPr>
            <w:tcW w:w="2268" w:type="dxa"/>
            <w:tcBorders>
              <w:top w:val="nil"/>
              <w:left w:val="nil"/>
              <w:bottom w:val="nil"/>
              <w:right w:val="nil"/>
            </w:tcBorders>
          </w:tcPr>
          <w:p>
            <w:pPr>
              <w:pStyle w:val="0"/>
              <w:jc w:val="center"/>
            </w:pPr>
            <w:r>
              <w:rPr>
                <w:sz w:val="24"/>
              </w:rPr>
              <w:t xml:space="preserve">4011 20</w:t>
            </w:r>
          </w:p>
        </w:tc>
        <w:tc>
          <w:tcPr>
            <w:tcW w:w="3912" w:type="dxa"/>
            <w:tcBorders>
              <w:top w:val="nil"/>
              <w:left w:val="nil"/>
              <w:bottom w:val="nil"/>
              <w:right w:val="nil"/>
            </w:tcBorders>
          </w:tcPr>
          <w:p>
            <w:pPr>
              <w:pStyle w:val="0"/>
            </w:pPr>
            <w:r>
              <w:rPr>
                <w:sz w:val="24"/>
              </w:rPr>
              <w:t xml:space="preserve">для автобусов или моторных транспортных средств для перевозки грузов</w:t>
            </w:r>
          </w:p>
        </w:tc>
      </w:tr>
      <w:tr>
        <w:tc>
          <w:tcPr>
            <w:tcW w:w="2891" w:type="dxa"/>
            <w:tcBorders>
              <w:top w:val="nil"/>
              <w:left w:val="nil"/>
              <w:bottom w:val="nil"/>
              <w:right w:val="nil"/>
            </w:tcBorders>
          </w:tcPr>
          <w:p>
            <w:pPr>
              <w:pStyle w:val="0"/>
            </w:pPr>
            <w:r>
              <w:rPr>
                <w:sz w:val="24"/>
              </w:rPr>
            </w:r>
          </w:p>
        </w:tc>
        <w:tc>
          <w:tcPr>
            <w:tcW w:w="2268" w:type="dxa"/>
            <w:tcBorders>
              <w:top w:val="nil"/>
              <w:left w:val="nil"/>
              <w:bottom w:val="nil"/>
              <w:right w:val="nil"/>
            </w:tcBorders>
          </w:tcPr>
          <w:p>
            <w:pPr>
              <w:pStyle w:val="0"/>
              <w:jc w:val="center"/>
            </w:pPr>
            <w:r>
              <w:rPr>
                <w:sz w:val="24"/>
              </w:rPr>
              <w:t xml:space="preserve">4011 40 000 0</w:t>
            </w:r>
          </w:p>
        </w:tc>
        <w:tc>
          <w:tcPr>
            <w:tcW w:w="3912" w:type="dxa"/>
            <w:tcBorders>
              <w:top w:val="nil"/>
              <w:left w:val="nil"/>
              <w:bottom w:val="nil"/>
              <w:right w:val="nil"/>
            </w:tcBorders>
          </w:tcPr>
          <w:p>
            <w:pPr>
              <w:pStyle w:val="0"/>
            </w:pPr>
            <w:r>
              <w:rPr>
                <w:sz w:val="24"/>
              </w:rPr>
              <w:t xml:space="preserve">для мотоциклов</w:t>
            </w:r>
          </w:p>
        </w:tc>
      </w:tr>
      <w:tr>
        <w:tc>
          <w:tcPr>
            <w:tcW w:w="2891" w:type="dxa"/>
            <w:tcBorders>
              <w:top w:val="nil"/>
              <w:left w:val="nil"/>
              <w:bottom w:val="nil"/>
              <w:right w:val="nil"/>
            </w:tcBorders>
          </w:tcPr>
          <w:p>
            <w:pPr>
              <w:pStyle w:val="0"/>
            </w:pPr>
            <w:r>
              <w:rPr>
                <w:sz w:val="24"/>
              </w:rPr>
            </w:r>
          </w:p>
        </w:tc>
        <w:tc>
          <w:tcPr>
            <w:tcW w:w="2268" w:type="dxa"/>
            <w:tcBorders>
              <w:top w:val="nil"/>
              <w:left w:val="nil"/>
              <w:bottom w:val="nil"/>
              <w:right w:val="nil"/>
            </w:tcBorders>
          </w:tcPr>
          <w:p>
            <w:pPr>
              <w:pStyle w:val="0"/>
              <w:jc w:val="center"/>
            </w:pPr>
            <w:r>
              <w:rPr>
                <w:sz w:val="24"/>
              </w:rPr>
              <w:t xml:space="preserve">4011 50 000</w:t>
            </w:r>
          </w:p>
        </w:tc>
        <w:tc>
          <w:tcPr>
            <w:tcW w:w="3912" w:type="dxa"/>
            <w:tcBorders>
              <w:top w:val="nil"/>
              <w:left w:val="nil"/>
              <w:bottom w:val="nil"/>
              <w:right w:val="nil"/>
            </w:tcBorders>
          </w:tcPr>
          <w:p>
            <w:pPr>
              <w:pStyle w:val="0"/>
            </w:pPr>
            <w:r>
              <w:rPr>
                <w:sz w:val="24"/>
              </w:rPr>
              <w:t xml:space="preserve">для велосипедов</w:t>
            </w:r>
          </w:p>
        </w:tc>
      </w:tr>
      <w:tr>
        <w:tc>
          <w:tcPr>
            <w:tcW w:w="2891" w:type="dxa"/>
            <w:tcBorders>
              <w:top w:val="nil"/>
              <w:left w:val="nil"/>
              <w:bottom w:val="nil"/>
              <w:right w:val="nil"/>
            </w:tcBorders>
          </w:tcPr>
          <w:p>
            <w:pPr>
              <w:pStyle w:val="0"/>
            </w:pPr>
            <w:r>
              <w:rPr>
                <w:sz w:val="24"/>
              </w:rPr>
            </w:r>
          </w:p>
        </w:tc>
        <w:tc>
          <w:tcPr>
            <w:tcW w:w="2268" w:type="dxa"/>
            <w:tcBorders>
              <w:top w:val="nil"/>
              <w:left w:val="nil"/>
              <w:bottom w:val="nil"/>
              <w:right w:val="nil"/>
            </w:tcBorders>
          </w:tcPr>
          <w:p>
            <w:pPr>
              <w:pStyle w:val="0"/>
              <w:jc w:val="center"/>
            </w:pPr>
            <w:r>
              <w:rPr>
                <w:sz w:val="24"/>
              </w:rPr>
              <w:t xml:space="preserve">4011 80 000 0</w:t>
            </w:r>
          </w:p>
        </w:tc>
        <w:tc>
          <w:tcPr>
            <w:tcW w:w="3912" w:type="dxa"/>
            <w:tcBorders>
              <w:top w:val="nil"/>
              <w:left w:val="nil"/>
              <w:bottom w:val="nil"/>
              <w:right w:val="nil"/>
            </w:tcBorders>
          </w:tcPr>
          <w:p>
            <w:pPr>
              <w:pStyle w:val="0"/>
            </w:pPr>
            <w:r>
              <w:rPr>
                <w:sz w:val="24"/>
              </w:rPr>
              <w:t xml:space="preserve">для транспортных средств и машин, используемых в строительстве, горном деле или промышленности</w:t>
            </w:r>
          </w:p>
        </w:tc>
      </w:tr>
      <w:tr>
        <w:tc>
          <w:tcPr>
            <w:tcW w:w="2891" w:type="dxa"/>
            <w:tcBorders>
              <w:top w:val="nil"/>
              <w:left w:val="nil"/>
              <w:bottom w:val="nil"/>
              <w:right w:val="nil"/>
            </w:tcBorders>
          </w:tcPr>
          <w:p>
            <w:pPr>
              <w:pStyle w:val="0"/>
            </w:pPr>
            <w:r>
              <w:rPr>
                <w:sz w:val="24"/>
              </w:rPr>
            </w:r>
          </w:p>
        </w:tc>
        <w:tc>
          <w:tcPr>
            <w:tcW w:w="2268" w:type="dxa"/>
            <w:tcBorders>
              <w:top w:val="nil"/>
              <w:left w:val="nil"/>
              <w:bottom w:val="nil"/>
              <w:right w:val="nil"/>
            </w:tcBorders>
          </w:tcPr>
          <w:p>
            <w:pPr>
              <w:pStyle w:val="0"/>
              <w:jc w:val="center"/>
            </w:pPr>
            <w:r>
              <w:rPr>
                <w:sz w:val="24"/>
              </w:rPr>
              <w:t xml:space="preserve">4011 90 000 0</w:t>
            </w:r>
          </w:p>
        </w:tc>
        <w:tc>
          <w:tcPr>
            <w:tcW w:w="3912" w:type="dxa"/>
            <w:tcBorders>
              <w:top w:val="nil"/>
              <w:left w:val="nil"/>
              <w:bottom w:val="nil"/>
              <w:right w:val="nil"/>
            </w:tcBorders>
          </w:tcPr>
          <w:p>
            <w:pPr>
              <w:pStyle w:val="0"/>
            </w:pPr>
            <w:r>
              <w:rPr>
                <w:sz w:val="24"/>
              </w:rPr>
              <w:t xml:space="preserve">прочие</w:t>
            </w:r>
          </w:p>
        </w:tc>
      </w:tr>
      <w:tr>
        <w:tc>
          <w:tcPr>
            <w:tcW w:w="2891" w:type="dxa"/>
            <w:tcBorders>
              <w:top w:val="nil"/>
              <w:left w:val="nil"/>
              <w:bottom w:val="nil"/>
              <w:right w:val="nil"/>
            </w:tcBorders>
          </w:tcPr>
          <w:p>
            <w:pPr>
              <w:pStyle w:val="0"/>
            </w:pPr>
            <w:r>
              <w:rPr>
                <w:sz w:val="24"/>
              </w:rPr>
              <w:t xml:space="preserve">Группа N 10 "Оборудование и инструменты ручные с механизированным приводом"</w:t>
            </w:r>
          </w:p>
        </w:tc>
        <w:tc>
          <w:tcPr>
            <w:tcW w:w="2268" w:type="dxa"/>
            <w:tcBorders>
              <w:top w:val="nil"/>
              <w:left w:val="nil"/>
              <w:bottom w:val="nil"/>
              <w:right w:val="nil"/>
            </w:tcBorders>
          </w:tcPr>
          <w:p>
            <w:pPr>
              <w:pStyle w:val="0"/>
              <w:jc w:val="center"/>
            </w:pPr>
            <w:r>
              <w:rPr>
                <w:sz w:val="24"/>
              </w:rPr>
              <w:t xml:space="preserve">из 8450</w:t>
            </w:r>
            <w:hyperlink w:history="0" w:anchor="P186" w:tooltip="&lt;3&gt; За исключением товарной позиции машины стиральные для прачечных.">
              <w:r>
                <w:rPr>
                  <w:sz w:val="24"/>
                  <w:color w:val="0000ff"/>
                </w:rPr>
                <w:t xml:space="preserve">&lt;3&gt;</w:t>
              </w:r>
            </w:hyperlink>
          </w:p>
        </w:tc>
        <w:tc>
          <w:tcPr>
            <w:tcW w:w="3912" w:type="dxa"/>
            <w:tcBorders>
              <w:top w:val="nil"/>
              <w:left w:val="nil"/>
              <w:bottom w:val="nil"/>
              <w:right w:val="nil"/>
            </w:tcBorders>
          </w:tcPr>
          <w:p>
            <w:pPr>
              <w:pStyle w:val="0"/>
            </w:pPr>
            <w:r>
              <w:rPr>
                <w:sz w:val="24"/>
              </w:rPr>
              <w:t xml:space="preserve">Машины стиральные, бытовые или для прачечных, включая машины, оснащенные отжимным устройством</w:t>
            </w:r>
          </w:p>
        </w:tc>
      </w:tr>
      <w:tr>
        <w:tc>
          <w:tcPr>
            <w:tcW w:w="2891" w:type="dxa"/>
            <w:tcBorders>
              <w:top w:val="nil"/>
              <w:left w:val="nil"/>
              <w:bottom w:val="nil"/>
              <w:right w:val="nil"/>
            </w:tcBorders>
            <w:vMerge w:val="restart"/>
          </w:tcPr>
          <w:p>
            <w:pPr>
              <w:pStyle w:val="0"/>
            </w:pPr>
            <w:r>
              <w:rPr>
                <w:sz w:val="24"/>
              </w:rPr>
              <w:t xml:space="preserve">Группа N 12 "Аккумуляторы свинцовые"</w:t>
            </w:r>
          </w:p>
        </w:tc>
        <w:tc>
          <w:tcPr>
            <w:tcW w:w="2268" w:type="dxa"/>
            <w:tcBorders>
              <w:top w:val="nil"/>
              <w:left w:val="nil"/>
              <w:bottom w:val="nil"/>
              <w:right w:val="nil"/>
            </w:tcBorders>
          </w:tcPr>
          <w:p>
            <w:pPr>
              <w:pStyle w:val="0"/>
              <w:jc w:val="center"/>
            </w:pPr>
            <w:r>
              <w:rPr>
                <w:sz w:val="24"/>
              </w:rPr>
              <w:t xml:space="preserve">8507 10</w:t>
            </w:r>
          </w:p>
        </w:tc>
        <w:tc>
          <w:tcPr>
            <w:tcW w:w="3912" w:type="dxa"/>
            <w:tcBorders>
              <w:top w:val="nil"/>
              <w:left w:val="nil"/>
              <w:bottom w:val="nil"/>
              <w:right w:val="nil"/>
            </w:tcBorders>
          </w:tcPr>
          <w:p>
            <w:pPr>
              <w:pStyle w:val="0"/>
            </w:pPr>
            <w:r>
              <w:rPr>
                <w:sz w:val="24"/>
              </w:rPr>
              <w:t xml:space="preserve">Аккумуляторы электрические, включая сепараторы для них, прямоугольной</w:t>
            </w:r>
          </w:p>
          <w:p>
            <w:pPr>
              <w:pStyle w:val="0"/>
            </w:pPr>
            <w:r>
              <w:rPr>
                <w:sz w:val="24"/>
              </w:rPr>
              <w:t xml:space="preserve">(в том числе квадратной) или иной формы:</w:t>
            </w:r>
          </w:p>
          <w:p>
            <w:pPr>
              <w:pStyle w:val="0"/>
            </w:pPr>
            <w:r>
              <w:rPr>
                <w:sz w:val="24"/>
              </w:rPr>
              <w:t xml:space="preserve">свинцовые, используемые для запуска поршневых двигателей</w:t>
            </w:r>
          </w:p>
        </w:tc>
      </w:tr>
      <w:tr>
        <w:tc>
          <w:tcPr>
            <w:tcBorders>
              <w:top w:val="nil"/>
              <w:left w:val="nil"/>
              <w:bottom w:val="nil"/>
              <w:right w:val="nil"/>
            </w:tcBorders>
            <w:vMerge w:val="continue"/>
          </w:tcPr>
          <w:p/>
        </w:tc>
        <w:tc>
          <w:tcPr>
            <w:tcW w:w="2268" w:type="dxa"/>
            <w:tcBorders>
              <w:top w:val="nil"/>
              <w:left w:val="nil"/>
              <w:bottom w:val="nil"/>
              <w:right w:val="nil"/>
            </w:tcBorders>
          </w:tcPr>
          <w:p>
            <w:pPr>
              <w:pStyle w:val="0"/>
              <w:jc w:val="center"/>
            </w:pPr>
            <w:r>
              <w:rPr>
                <w:sz w:val="24"/>
              </w:rPr>
              <w:t xml:space="preserve">8507 20</w:t>
            </w:r>
          </w:p>
        </w:tc>
        <w:tc>
          <w:tcPr>
            <w:tcW w:w="3912" w:type="dxa"/>
            <w:tcBorders>
              <w:top w:val="nil"/>
              <w:left w:val="nil"/>
              <w:bottom w:val="nil"/>
              <w:right w:val="nil"/>
            </w:tcBorders>
          </w:tcPr>
          <w:p>
            <w:pPr>
              <w:pStyle w:val="0"/>
            </w:pPr>
            <w:r>
              <w:rPr>
                <w:sz w:val="24"/>
              </w:rPr>
              <w:t xml:space="preserve">Аккумуляторы электрические, включая сепараторы для них, прямоугольной (в том числе квадратной) или иной формы:</w:t>
            </w:r>
          </w:p>
          <w:p>
            <w:pPr>
              <w:pStyle w:val="0"/>
            </w:pPr>
            <w:r>
              <w:rPr>
                <w:sz w:val="24"/>
              </w:rPr>
              <w:t xml:space="preserve">аккумуляторы свинцовые прочие</w:t>
            </w:r>
          </w:p>
        </w:tc>
      </w:tr>
      <w:tr>
        <w:tc>
          <w:tcPr>
            <w:tcW w:w="2891" w:type="dxa"/>
            <w:tcBorders>
              <w:top w:val="nil"/>
              <w:left w:val="nil"/>
              <w:bottom w:val="nil"/>
              <w:right w:val="nil"/>
            </w:tcBorders>
          </w:tcPr>
          <w:p>
            <w:pPr>
              <w:pStyle w:val="0"/>
            </w:pPr>
            <w:r>
              <w:rPr>
                <w:sz w:val="24"/>
              </w:rPr>
              <w:t xml:space="preserve">Группа N 25 "Изделия пластмассовые упаковочные из полипропилена"</w:t>
            </w:r>
          </w:p>
        </w:tc>
        <w:tc>
          <w:tcPr>
            <w:tcW w:w="2268" w:type="dxa"/>
            <w:tcBorders>
              <w:top w:val="nil"/>
              <w:left w:val="nil"/>
              <w:bottom w:val="nil"/>
              <w:right w:val="nil"/>
            </w:tcBorders>
          </w:tcPr>
          <w:p>
            <w:pPr>
              <w:pStyle w:val="0"/>
              <w:jc w:val="center"/>
            </w:pPr>
            <w:r>
              <w:rPr>
                <w:sz w:val="24"/>
              </w:rPr>
              <w:t xml:space="preserve">3920 20 210 9</w:t>
            </w:r>
          </w:p>
        </w:tc>
        <w:tc>
          <w:tcPr>
            <w:tcW w:w="3912" w:type="dxa"/>
            <w:tcBorders>
              <w:top w:val="nil"/>
              <w:left w:val="nil"/>
              <w:bottom w:val="nil"/>
              <w:right w:val="nil"/>
            </w:tcBorders>
          </w:tcPr>
          <w:p>
            <w:pPr>
              <w:pStyle w:val="0"/>
            </w:pPr>
            <w:r>
              <w:rPr>
                <w:sz w:val="24"/>
              </w:rPr>
              <w:t xml:space="preserve">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полимеров пропилена:</w:t>
            </w:r>
          </w:p>
          <w:p>
            <w:pPr>
              <w:pStyle w:val="0"/>
            </w:pPr>
            <w:r>
              <w:rPr>
                <w:sz w:val="24"/>
              </w:rPr>
              <w:t xml:space="preserve">прочие</w:t>
            </w:r>
          </w:p>
        </w:tc>
      </w:tr>
      <w:tr>
        <w:tc>
          <w:tcPr>
            <w:tcW w:w="2891" w:type="dxa"/>
            <w:tcBorders>
              <w:top w:val="nil"/>
              <w:left w:val="nil"/>
              <w:bottom w:val="nil"/>
              <w:right w:val="nil"/>
            </w:tcBorders>
          </w:tcPr>
          <w:p>
            <w:pPr>
              <w:pStyle w:val="0"/>
            </w:pPr>
            <w:r>
              <w:rPr>
                <w:sz w:val="24"/>
              </w:rPr>
              <w:t xml:space="preserve">Группа N 31 "Тара и изделия упаковочные из металла"</w:t>
            </w:r>
          </w:p>
        </w:tc>
        <w:tc>
          <w:tcPr>
            <w:tcW w:w="2268" w:type="dxa"/>
            <w:tcBorders>
              <w:top w:val="nil"/>
              <w:left w:val="nil"/>
              <w:bottom w:val="nil"/>
              <w:right w:val="nil"/>
            </w:tcBorders>
          </w:tcPr>
          <w:p>
            <w:pPr>
              <w:pStyle w:val="0"/>
              <w:jc w:val="center"/>
            </w:pPr>
            <w:r>
              <w:rPr>
                <w:sz w:val="24"/>
              </w:rPr>
              <w:t xml:space="preserve">7612 90 800 1</w:t>
            </w:r>
          </w:p>
        </w:tc>
        <w:tc>
          <w:tcPr>
            <w:tcW w:w="3912" w:type="dxa"/>
            <w:tcBorders>
              <w:top w:val="nil"/>
              <w:left w:val="nil"/>
              <w:bottom w:val="nil"/>
              <w:right w:val="nil"/>
            </w:tcBorders>
            <w:vMerge w:val="restart"/>
          </w:tcPr>
          <w:p>
            <w:pPr>
              <w:pStyle w:val="0"/>
            </w:pPr>
            <w:r>
              <w:rPr>
                <w:sz w:val="24"/>
              </w:rPr>
              <w:t xml:space="preserve">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 прочие:</w:t>
            </w:r>
          </w:p>
          <w:p>
            <w:pPr>
              <w:pStyle w:val="0"/>
            </w:pPr>
            <w:r>
              <w:rPr>
                <w:sz w:val="24"/>
              </w:rPr>
              <w:t xml:space="preserve">прочие: емкости жесткие цилиндрические вместимостью не более 1 л</w:t>
            </w:r>
          </w:p>
        </w:tc>
      </w:tr>
      <w:tr>
        <w:tc>
          <w:tcPr>
            <w:tcW w:w="2891" w:type="dxa"/>
            <w:tcBorders>
              <w:top w:val="nil"/>
              <w:left w:val="nil"/>
              <w:bottom w:val="nil"/>
              <w:right w:val="nil"/>
            </w:tcBorders>
          </w:tcPr>
          <w:p>
            <w:pPr>
              <w:pStyle w:val="0"/>
            </w:pPr>
            <w:r>
              <w:rPr>
                <w:sz w:val="24"/>
              </w:rPr>
            </w:r>
          </w:p>
        </w:tc>
        <w:tc>
          <w:tcPr>
            <w:tcW w:w="226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r>
      <w:tr>
        <w:tc>
          <w:tcPr>
            <w:tcW w:w="2891" w:type="dxa"/>
            <w:tcBorders>
              <w:top w:val="nil"/>
              <w:left w:val="nil"/>
              <w:bottom w:val="nil"/>
              <w:right w:val="nil"/>
            </w:tcBorders>
          </w:tcPr>
          <w:p>
            <w:pPr>
              <w:pStyle w:val="0"/>
            </w:pPr>
            <w:r>
              <w:rPr>
                <w:sz w:val="24"/>
              </w:rPr>
              <w:t xml:space="preserve">Группа N 32 "Тара и изделия упаковочные из комбинированных материалов на основе бумаги"</w:t>
            </w:r>
          </w:p>
        </w:tc>
        <w:tc>
          <w:tcPr>
            <w:tcW w:w="2268" w:type="dxa"/>
            <w:tcBorders>
              <w:top w:val="nil"/>
              <w:left w:val="nil"/>
              <w:bottom w:val="nil"/>
              <w:right w:val="nil"/>
            </w:tcBorders>
          </w:tcPr>
          <w:p>
            <w:pPr>
              <w:pStyle w:val="0"/>
              <w:jc w:val="center"/>
            </w:pPr>
            <w:r>
              <w:rPr>
                <w:sz w:val="24"/>
              </w:rPr>
              <w:t xml:space="preserve">4811 51 000 9</w:t>
            </w:r>
          </w:p>
        </w:tc>
        <w:tc>
          <w:tcPr>
            <w:tcW w:w="3912" w:type="dxa"/>
            <w:tcBorders>
              <w:top w:val="nil"/>
              <w:left w:val="nil"/>
              <w:bottom w:val="single" w:sz="4"/>
              <w:right w:val="nil"/>
            </w:tcBorders>
            <w:vMerge w:val="restart"/>
          </w:tcPr>
          <w:p>
            <w:pPr>
              <w:pStyle w:val="0"/>
            </w:pPr>
            <w:r>
              <w:rPr>
                <w:sz w:val="24"/>
              </w:rPr>
              <w:t xml:space="preserve">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 бумага и картон с покрытием, пропиткой или ламинированные пластмассой (за исключением клеев): беленые, массой 1 м</w:t>
            </w:r>
            <w:r>
              <w:rPr>
                <w:sz w:val="24"/>
                <w:vertAlign w:val="superscript"/>
              </w:rPr>
              <w:t xml:space="preserve">2</w:t>
            </w:r>
          </w:p>
          <w:p>
            <w:pPr>
              <w:pStyle w:val="0"/>
            </w:pPr>
            <w:r>
              <w:rPr>
                <w:sz w:val="24"/>
              </w:rPr>
              <w:t xml:space="preserve">более 150 г: прочие</w:t>
            </w:r>
          </w:p>
        </w:tc>
      </w:tr>
      <w:tr>
        <w:tc>
          <w:tcPr>
            <w:tcW w:w="2891" w:type="dxa"/>
            <w:tcBorders>
              <w:top w:val="nil"/>
              <w:left w:val="nil"/>
              <w:bottom w:val="single" w:sz="4"/>
              <w:right w:val="nil"/>
            </w:tcBorders>
          </w:tcPr>
          <w:p>
            <w:pPr>
              <w:pStyle w:val="0"/>
            </w:pPr>
            <w:r>
              <w:rPr>
                <w:sz w:val="24"/>
              </w:rPr>
            </w:r>
          </w:p>
        </w:tc>
        <w:tc>
          <w:tcPr>
            <w:tcW w:w="2268" w:type="dxa"/>
            <w:tcBorders>
              <w:top w:val="nil"/>
              <w:left w:val="nil"/>
              <w:bottom w:val="single" w:sz="4"/>
              <w:right w:val="nil"/>
            </w:tcBorders>
          </w:tcPr>
          <w:p>
            <w:pPr>
              <w:pStyle w:val="0"/>
            </w:pPr>
            <w:r>
              <w:rPr>
                <w:sz w:val="24"/>
              </w:rPr>
            </w:r>
          </w:p>
        </w:tc>
        <w:tc>
          <w:tcPr>
            <w:tcBorders>
              <w:top w:val="nil"/>
              <w:left w:val="nil"/>
              <w:bottom w:val="single" w:sz="4"/>
              <w:right w:val="nil"/>
            </w:tcBorders>
            <w:vMerge w:val="continue"/>
          </w:tcPr>
          <w:p/>
        </w:tc>
      </w:tr>
    </w:tbl>
    <w:p>
      <w:pPr>
        <w:pStyle w:val="0"/>
        <w:jc w:val="both"/>
      </w:pPr>
      <w:r>
        <w:rPr>
          <w:sz w:val="24"/>
        </w:rPr>
      </w:r>
    </w:p>
    <w:p>
      <w:pPr>
        <w:pStyle w:val="0"/>
        <w:ind w:firstLine="540"/>
        <w:jc w:val="both"/>
      </w:pPr>
      <w:r>
        <w:rPr>
          <w:sz w:val="24"/>
        </w:rPr>
        <w:t xml:space="preserve">--------------------------------</w:t>
      </w:r>
    </w:p>
    <w:bookmarkStart w:id="184" w:name="P184"/>
    <w:bookmarkEnd w:id="184"/>
    <w:p>
      <w:pPr>
        <w:pStyle w:val="0"/>
        <w:spacing w:before="240" w:lineRule="auto"/>
        <w:ind w:firstLine="540"/>
        <w:jc w:val="both"/>
      </w:pPr>
      <w:r>
        <w:rPr>
          <w:sz w:val="24"/>
        </w:rPr>
        <w:t xml:space="preserve">&lt;1&gt; При идентификации товаров, упаковки рекомендуется использовать код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 и наименование групп товаров, упаковки, включенных в </w:t>
      </w:r>
      <w:r>
        <w:rPr>
          <w:sz w:val="24"/>
        </w:rPr>
        <w:t xml:space="preserve">перечни</w:t>
      </w:r>
      <w:r>
        <w:rPr>
          <w:sz w:val="24"/>
        </w:rPr>
        <w:t xml:space="preserve"> товаров, упаковки, отходы от использования которых подлежат утилизации, утвержденные постановлением Правительства Российской Федерации от 29 декабря 2023 г. N 2414 "Об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упаковки".</w:t>
      </w:r>
    </w:p>
    <w:bookmarkStart w:id="185" w:name="P185"/>
    <w:bookmarkEnd w:id="185"/>
    <w:p>
      <w:pPr>
        <w:pStyle w:val="0"/>
        <w:spacing w:before="240" w:lineRule="auto"/>
        <w:ind w:firstLine="540"/>
        <w:jc w:val="both"/>
      </w:pPr>
      <w:r>
        <w:rPr>
          <w:sz w:val="24"/>
        </w:rPr>
        <w:t xml:space="preserve">&lt;2&gt; Наименование групп товаров, упаковки, включенных в </w:t>
      </w:r>
      <w:r>
        <w:rPr>
          <w:sz w:val="24"/>
        </w:rPr>
        <w:t xml:space="preserve">перечни</w:t>
      </w:r>
      <w:r>
        <w:rPr>
          <w:sz w:val="24"/>
        </w:rPr>
        <w:t xml:space="preserve"> товаров, упаковки, отходы от использования которых подлежат утилизации, утвержденные постановлением Правительства Российской Федерации от 29 декабря 2023 г. N 2414 "Об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упаковки".</w:t>
      </w:r>
    </w:p>
    <w:bookmarkStart w:id="186" w:name="P186"/>
    <w:bookmarkEnd w:id="186"/>
    <w:p>
      <w:pPr>
        <w:pStyle w:val="0"/>
        <w:spacing w:before="240" w:lineRule="auto"/>
        <w:ind w:firstLine="540"/>
        <w:jc w:val="both"/>
      </w:pPr>
      <w:r>
        <w:rPr>
          <w:sz w:val="24"/>
        </w:rPr>
        <w:t xml:space="preserve">&lt;3&gt; За исключением товарной позиции машины стиральные для прачечных.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192" w:name="P192"/>
    <w:bookmarkEnd w:id="192"/>
    <w:p>
      <w:pPr>
        <w:pStyle w:val="0"/>
        <w:outlineLvl w:val="1"/>
        <w:jc w:val="right"/>
      </w:pPr>
      <w:r>
        <w:rPr>
          <w:sz w:val="24"/>
        </w:rPr>
        <w:t xml:space="preserve">Приложение N 2</w:t>
      </w:r>
    </w:p>
    <w:p>
      <w:pPr>
        <w:pStyle w:val="0"/>
        <w:jc w:val="right"/>
      </w:pPr>
      <w:r>
        <w:rPr>
          <w:sz w:val="24"/>
        </w:rPr>
        <w:t xml:space="preserve">к Положению о проведении эксперимента</w:t>
      </w:r>
    </w:p>
    <w:p>
      <w:pPr>
        <w:pStyle w:val="0"/>
        <w:jc w:val="right"/>
      </w:pPr>
      <w:r>
        <w:rPr>
          <w:sz w:val="24"/>
        </w:rPr>
        <w:t xml:space="preserve">в отношении отдельных групп товаров,</w:t>
      </w:r>
    </w:p>
    <w:p>
      <w:pPr>
        <w:pStyle w:val="0"/>
        <w:jc w:val="right"/>
      </w:pPr>
      <w:r>
        <w:rPr>
          <w:sz w:val="24"/>
        </w:rPr>
        <w:t xml:space="preserve">в том числе товаров в упаковке</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99" w:name="P199"/>
          <w:bookmarkEnd w:id="199"/>
          <w:p>
            <w:pPr>
              <w:pStyle w:val="0"/>
              <w:jc w:val="center"/>
            </w:pPr>
            <w:r>
              <w:rPr>
                <w:sz w:val="24"/>
              </w:rPr>
              <w:t xml:space="preserve">ОТЧЕТНОСТЬ</w:t>
            </w:r>
          </w:p>
          <w:p>
            <w:pPr>
              <w:pStyle w:val="0"/>
              <w:jc w:val="center"/>
            </w:pPr>
            <w:r>
              <w:rPr>
                <w:sz w:val="24"/>
              </w:rPr>
              <w:t xml:space="preserve">о массе товаров, упаковки, ввезенных из государств, не являющихся членами Евразийского экономического союза,</w:t>
            </w:r>
          </w:p>
          <w:p>
            <w:pPr>
              <w:pStyle w:val="0"/>
              <w:jc w:val="center"/>
            </w:pPr>
            <w:r>
              <w:rPr>
                <w:sz w:val="24"/>
              </w:rPr>
              <w:t xml:space="preserve">за ____ год</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03" w:name="P203"/>
          <w:bookmarkEnd w:id="203"/>
          <w:p>
            <w:pPr>
              <w:pStyle w:val="0"/>
              <w:outlineLvl w:val="2"/>
              <w:jc w:val="center"/>
            </w:pPr>
            <w:r>
              <w:rPr>
                <w:sz w:val="24"/>
              </w:rPr>
              <w:t xml:space="preserve">Раздел I. Общие сведения </w:t>
            </w:r>
            <w:hyperlink w:history="0" w:anchor="P486" w:tooltip="&lt;1&gt; Сведения раздела I настоящей отчетности подлежат автоматическому заполнению на основании сведений из учетной записи юридического лица или индивидуального предпринимател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w:r>
                <w:rPr>
                  <w:sz w:val="24"/>
                  <w:color w:val="0000ff"/>
                </w:rPr>
                <w:t xml:space="preserve">&lt;1&gt;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2209"/>
        <w:gridCol w:w="764"/>
        <w:gridCol w:w="1694"/>
        <w:gridCol w:w="1851"/>
        <w:gridCol w:w="2551"/>
      </w:tblGrid>
      <w:tr>
        <w:tc>
          <w:tcPr>
            <w:tcW w:w="2209" w:type="dxa"/>
            <w:vAlign w:val="bottom"/>
            <w:tcBorders>
              <w:top w:val="nil"/>
              <w:left w:val="nil"/>
              <w:bottom w:val="nil"/>
              <w:right w:val="nil"/>
            </w:tcBorders>
          </w:tcPr>
          <w:p>
            <w:pPr>
              <w:pStyle w:val="0"/>
              <w:jc w:val="both"/>
            </w:pPr>
            <w:r>
              <w:rPr>
                <w:sz w:val="24"/>
              </w:rPr>
              <w:t xml:space="preserve">1. Информация об</w:t>
            </w:r>
          </w:p>
        </w:tc>
        <w:tc>
          <w:tcPr>
            <w:gridSpan w:val="3"/>
            <w:tcW w:w="4309" w:type="dxa"/>
            <w:tcBorders>
              <w:top w:val="nil"/>
              <w:left w:val="nil"/>
              <w:bottom w:val="single" w:sz="4"/>
              <w:right w:val="nil"/>
            </w:tcBorders>
          </w:tcPr>
          <w:p>
            <w:pPr>
              <w:pStyle w:val="0"/>
            </w:pPr>
            <w:r>
              <w:rPr>
                <w:sz w:val="24"/>
              </w:rPr>
            </w:r>
          </w:p>
        </w:tc>
        <w:tc>
          <w:tcPr>
            <w:tcW w:w="2551" w:type="dxa"/>
            <w:vAlign w:val="bottom"/>
            <w:tcBorders>
              <w:top w:val="nil"/>
              <w:left w:val="nil"/>
              <w:bottom w:val="nil"/>
              <w:right w:val="nil"/>
            </w:tcBorders>
          </w:tcPr>
          <w:p>
            <w:pPr>
              <w:pStyle w:val="0"/>
            </w:pPr>
            <w:r>
              <w:rPr>
                <w:sz w:val="24"/>
              </w:rPr>
              <w:t xml:space="preserve">- юридическом лице:</w:t>
            </w:r>
          </w:p>
        </w:tc>
      </w:tr>
      <w:tr>
        <w:tc>
          <w:tcPr>
            <w:tcW w:w="2209" w:type="dxa"/>
            <w:tcBorders>
              <w:top w:val="nil"/>
              <w:left w:val="nil"/>
              <w:bottom w:val="nil"/>
              <w:right w:val="nil"/>
            </w:tcBorders>
          </w:tcPr>
          <w:p>
            <w:pPr>
              <w:pStyle w:val="0"/>
            </w:pPr>
            <w:r>
              <w:rPr>
                <w:sz w:val="24"/>
              </w:rPr>
            </w:r>
          </w:p>
        </w:tc>
        <w:tc>
          <w:tcPr>
            <w:gridSpan w:val="3"/>
            <w:tcW w:w="4309" w:type="dxa"/>
            <w:tcBorders>
              <w:top w:val="single" w:sz="4"/>
              <w:left w:val="nil"/>
              <w:bottom w:val="nil"/>
              <w:right w:val="nil"/>
            </w:tcBorders>
          </w:tcPr>
          <w:p>
            <w:pPr>
              <w:pStyle w:val="0"/>
              <w:jc w:val="center"/>
            </w:pPr>
            <w:r>
              <w:rPr>
                <w:sz w:val="24"/>
              </w:rPr>
              <w:t xml:space="preserve">(импортере товаров)</w:t>
            </w:r>
          </w:p>
        </w:tc>
        <w:tc>
          <w:tcPr>
            <w:tcW w:w="2551" w:type="dxa"/>
            <w:tcBorders>
              <w:top w:val="nil"/>
              <w:left w:val="nil"/>
              <w:bottom w:val="nil"/>
              <w:right w:val="nil"/>
            </w:tcBorders>
          </w:tcPr>
          <w:p>
            <w:pPr>
              <w:pStyle w:val="0"/>
            </w:pPr>
            <w:r>
              <w:rPr>
                <w:sz w:val="24"/>
              </w:rPr>
            </w:r>
          </w:p>
        </w:tc>
      </w:tr>
      <w:tr>
        <w:tc>
          <w:tcPr>
            <w:gridSpan w:val="3"/>
            <w:tcW w:w="4667" w:type="dxa"/>
            <w:vAlign w:val="bottom"/>
            <w:tcBorders>
              <w:top w:val="nil"/>
              <w:left w:val="nil"/>
              <w:bottom w:val="nil"/>
              <w:right w:val="nil"/>
            </w:tcBorders>
          </w:tcPr>
          <w:p>
            <w:pPr>
              <w:pStyle w:val="0"/>
              <w:jc w:val="both"/>
            </w:pPr>
            <w:r>
              <w:rPr>
                <w:sz w:val="24"/>
              </w:rPr>
              <w:t xml:space="preserve">организационно-правовая форма</w:t>
            </w:r>
          </w:p>
          <w:p>
            <w:pPr>
              <w:pStyle w:val="0"/>
              <w:jc w:val="both"/>
            </w:pPr>
            <w:r>
              <w:rPr>
                <w:sz w:val="24"/>
              </w:rPr>
              <w:t xml:space="preserve">юридического лица и его наименование</w:t>
            </w:r>
          </w:p>
        </w:tc>
        <w:tc>
          <w:tcPr>
            <w:gridSpan w:val="2"/>
            <w:tcW w:w="4402" w:type="dxa"/>
            <w:tcBorders>
              <w:top w:val="nil"/>
              <w:left w:val="nil"/>
              <w:bottom w:val="single" w:sz="4"/>
              <w:right w:val="nil"/>
            </w:tcBorders>
          </w:tcPr>
          <w:p>
            <w:pPr>
              <w:pStyle w:val="0"/>
            </w:pPr>
            <w:r>
              <w:rPr>
                <w:sz w:val="24"/>
              </w:rPr>
            </w:r>
          </w:p>
        </w:tc>
      </w:tr>
      <w:tr>
        <w:tc>
          <w:tcPr>
            <w:gridSpan w:val="3"/>
            <w:tcW w:w="4667" w:type="dxa"/>
            <w:tcBorders>
              <w:top w:val="nil"/>
              <w:left w:val="nil"/>
              <w:bottom w:val="nil"/>
              <w:right w:val="nil"/>
            </w:tcBorders>
          </w:tcPr>
          <w:p>
            <w:pPr>
              <w:pStyle w:val="0"/>
            </w:pPr>
            <w:r>
              <w:rPr>
                <w:sz w:val="24"/>
              </w:rPr>
            </w:r>
          </w:p>
        </w:tc>
        <w:tc>
          <w:tcPr>
            <w:gridSpan w:val="2"/>
            <w:tcW w:w="4402" w:type="dxa"/>
            <w:tcBorders>
              <w:top w:val="single" w:sz="4"/>
              <w:left w:val="nil"/>
              <w:bottom w:val="nil"/>
              <w:right w:val="nil"/>
            </w:tcBorders>
          </w:tcPr>
          <w:p>
            <w:pPr>
              <w:pStyle w:val="0"/>
              <w:jc w:val="center"/>
            </w:pPr>
            <w:r>
              <w:rPr>
                <w:sz w:val="24"/>
              </w:rPr>
              <w:t xml:space="preserve">(полное, сокращенное (при наличии), фирменное наименование)</w:t>
            </w:r>
          </w:p>
        </w:tc>
      </w:tr>
      <w:tr>
        <w:tc>
          <w:tcPr>
            <w:gridSpan w:val="5"/>
            <w:tcW w:w="9069" w:type="dxa"/>
            <w:tcBorders>
              <w:top w:val="nil"/>
              <w:left w:val="nil"/>
              <w:bottom w:val="nil"/>
              <w:right w:val="nil"/>
            </w:tcBorders>
          </w:tcPr>
          <w:p>
            <w:pPr>
              <w:pStyle w:val="0"/>
              <w:jc w:val="both"/>
            </w:pPr>
            <w:r>
              <w:rPr>
                <w:sz w:val="24"/>
              </w:rPr>
              <w:t xml:space="preserve">идентификационный номер</w:t>
            </w:r>
          </w:p>
          <w:p>
            <w:pPr>
              <w:pStyle w:val="0"/>
              <w:jc w:val="both"/>
            </w:pPr>
            <w:r>
              <w:rPr>
                <w:sz w:val="24"/>
              </w:rPr>
              <w:t xml:space="preserve">налогоплательщика _________________________________________________________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код причины постановки на учет 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адрес места нахождения юридического лица ___________________________________</w:t>
            </w:r>
          </w:p>
        </w:tc>
      </w:tr>
      <w:tr>
        <w:tc>
          <w:tcPr>
            <w:gridSpan w:val="5"/>
            <w:tcW w:w="9069" w:type="dxa"/>
            <w:tcBorders>
              <w:top w:val="nil"/>
              <w:left w:val="nil"/>
              <w:bottom w:val="nil"/>
              <w:right w:val="nil"/>
            </w:tcBorders>
          </w:tcPr>
          <w:p>
            <w:pPr>
              <w:pStyle w:val="0"/>
              <w:jc w:val="both"/>
            </w:pPr>
            <w:r>
              <w:rPr>
                <w:sz w:val="24"/>
              </w:rPr>
              <w:t xml:space="preserve">основной государственный</w:t>
            </w:r>
          </w:p>
          <w:p>
            <w:pPr>
              <w:pStyle w:val="0"/>
              <w:jc w:val="both"/>
            </w:pPr>
            <w:r>
              <w:rPr>
                <w:sz w:val="24"/>
              </w:rPr>
              <w:t xml:space="preserve">регистрационный номер 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реквизиты документа, подтверждающего факт</w:t>
            </w:r>
          </w:p>
          <w:p>
            <w:pPr>
              <w:pStyle w:val="0"/>
              <w:jc w:val="both"/>
            </w:pPr>
            <w:r>
              <w:rPr>
                <w:sz w:val="24"/>
              </w:rPr>
              <w:t xml:space="preserve">внесения записи о юридическом лице</w:t>
            </w:r>
          </w:p>
          <w:p>
            <w:pPr>
              <w:pStyle w:val="0"/>
              <w:jc w:val="both"/>
            </w:pPr>
            <w:r>
              <w:rPr>
                <w:sz w:val="24"/>
              </w:rPr>
              <w:t xml:space="preserve">в единый государственный реестр</w:t>
            </w:r>
          </w:p>
          <w:p>
            <w:pPr>
              <w:pStyle w:val="0"/>
              <w:jc w:val="both"/>
            </w:pPr>
            <w:r>
              <w:rPr>
                <w:sz w:val="24"/>
              </w:rPr>
              <w:t xml:space="preserve">юридических лиц, __________________________________________________________</w:t>
            </w:r>
          </w:p>
        </w:tc>
      </w:tr>
      <w:tr>
        <w:tc>
          <w:tcPr>
            <w:tcW w:w="2209" w:type="dxa"/>
            <w:vAlign w:val="bottom"/>
            <w:tcBorders>
              <w:top w:val="nil"/>
              <w:left w:val="nil"/>
              <w:bottom w:val="nil"/>
              <w:right w:val="nil"/>
            </w:tcBorders>
          </w:tcPr>
          <w:p>
            <w:pPr>
              <w:pStyle w:val="0"/>
            </w:pPr>
            <w:r>
              <w:rPr>
                <w:sz w:val="24"/>
              </w:rPr>
              <w:t xml:space="preserve">2. Информация об</w:t>
            </w:r>
          </w:p>
        </w:tc>
        <w:tc>
          <w:tcPr>
            <w:gridSpan w:val="2"/>
            <w:tcW w:w="2458" w:type="dxa"/>
            <w:tcBorders>
              <w:top w:val="nil"/>
              <w:left w:val="nil"/>
              <w:bottom w:val="single" w:sz="4"/>
              <w:right w:val="nil"/>
            </w:tcBorders>
          </w:tcPr>
          <w:p>
            <w:pPr>
              <w:pStyle w:val="0"/>
            </w:pPr>
            <w:r>
              <w:rPr>
                <w:sz w:val="24"/>
              </w:rPr>
            </w:r>
          </w:p>
        </w:tc>
        <w:tc>
          <w:tcPr>
            <w:gridSpan w:val="2"/>
            <w:tcW w:w="4402" w:type="dxa"/>
            <w:tcBorders>
              <w:top w:val="nil"/>
              <w:left w:val="nil"/>
              <w:bottom w:val="nil"/>
              <w:right w:val="nil"/>
            </w:tcBorders>
            <w:vMerge w:val="restart"/>
          </w:tcPr>
          <w:p>
            <w:pPr>
              <w:pStyle w:val="0"/>
            </w:pPr>
            <w:r>
              <w:rPr>
                <w:sz w:val="24"/>
              </w:rPr>
              <w:t xml:space="preserve">- для физического лица, зарегистрированного в качестве индивидуального предпринимателя (далее - индивидуальный предприниматель):</w:t>
            </w:r>
          </w:p>
        </w:tc>
      </w:tr>
      <w:tr>
        <w:tc>
          <w:tcPr>
            <w:tcW w:w="2209" w:type="dxa"/>
            <w:tcBorders>
              <w:top w:val="nil"/>
              <w:left w:val="nil"/>
              <w:bottom w:val="nil"/>
              <w:right w:val="nil"/>
            </w:tcBorders>
          </w:tcPr>
          <w:p>
            <w:pPr>
              <w:pStyle w:val="0"/>
            </w:pPr>
            <w:r>
              <w:rPr>
                <w:sz w:val="24"/>
              </w:rPr>
            </w:r>
          </w:p>
        </w:tc>
        <w:tc>
          <w:tcPr>
            <w:gridSpan w:val="2"/>
            <w:tcW w:w="2458" w:type="dxa"/>
            <w:tcBorders>
              <w:top w:val="single" w:sz="4"/>
              <w:left w:val="nil"/>
              <w:bottom w:val="nil"/>
              <w:right w:val="nil"/>
            </w:tcBorders>
          </w:tcPr>
          <w:p>
            <w:pPr>
              <w:pStyle w:val="0"/>
              <w:jc w:val="center"/>
            </w:pPr>
            <w:r>
              <w:rPr>
                <w:sz w:val="24"/>
              </w:rPr>
              <w:t xml:space="preserve">(импортере товаров)</w:t>
            </w:r>
          </w:p>
        </w:tc>
        <w:tc>
          <w:tcPr>
            <w:gridSpan w:val="2"/>
            <w:tcBorders>
              <w:top w:val="nil"/>
              <w:left w:val="nil"/>
              <w:bottom w:val="nil"/>
              <w:right w:val="nil"/>
            </w:tcBorders>
            <w:vMerge w:val="continue"/>
          </w:tcPr>
          <w:p/>
        </w:tc>
      </w:tr>
      <w:tr>
        <w:tc>
          <w:tcPr>
            <w:gridSpan w:val="5"/>
            <w:tcW w:w="9069" w:type="dxa"/>
            <w:tcBorders>
              <w:top w:val="nil"/>
              <w:left w:val="nil"/>
              <w:bottom w:val="nil"/>
              <w:right w:val="nil"/>
            </w:tcBorders>
          </w:tcPr>
          <w:p>
            <w:pPr>
              <w:pStyle w:val="0"/>
              <w:jc w:val="both"/>
            </w:pPr>
            <w:r>
              <w:rPr>
                <w:sz w:val="24"/>
              </w:rPr>
              <w:t xml:space="preserve">фамилия, имя, отчество (при наличии)</w:t>
            </w:r>
          </w:p>
          <w:p>
            <w:pPr>
              <w:pStyle w:val="0"/>
              <w:jc w:val="both"/>
            </w:pPr>
            <w:r>
              <w:rPr>
                <w:sz w:val="24"/>
              </w:rPr>
              <w:t xml:space="preserve">индивидуального предпринимателя 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идентификационный номер</w:t>
            </w:r>
          </w:p>
          <w:p>
            <w:pPr>
              <w:pStyle w:val="0"/>
              <w:jc w:val="both"/>
            </w:pPr>
            <w:r>
              <w:rPr>
                <w:sz w:val="24"/>
              </w:rPr>
              <w:t xml:space="preserve">налогоплательщика _________________________________________________________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адрес индивидуального</w:t>
            </w:r>
          </w:p>
          <w:p>
            <w:pPr>
              <w:pStyle w:val="0"/>
              <w:jc w:val="both"/>
            </w:pPr>
            <w:r>
              <w:rPr>
                <w:sz w:val="24"/>
              </w:rPr>
              <w:t xml:space="preserve">предпринимателя __________________________________________________________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основной государственный</w:t>
            </w:r>
          </w:p>
          <w:p>
            <w:pPr>
              <w:pStyle w:val="0"/>
              <w:jc w:val="both"/>
            </w:pPr>
            <w:r>
              <w:rPr>
                <w:sz w:val="24"/>
              </w:rPr>
              <w:t xml:space="preserve">регистрационный номер 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реквизиты документа, подтверждающего</w:t>
            </w:r>
          </w:p>
          <w:p>
            <w:pPr>
              <w:pStyle w:val="0"/>
              <w:jc w:val="both"/>
            </w:pPr>
            <w:r>
              <w:rPr>
                <w:sz w:val="24"/>
              </w:rPr>
              <w:t xml:space="preserve">факт внесения записи об индивидуальном</w:t>
            </w:r>
          </w:p>
          <w:p>
            <w:pPr>
              <w:pStyle w:val="0"/>
              <w:jc w:val="both"/>
            </w:pPr>
            <w:r>
              <w:rPr>
                <w:sz w:val="24"/>
              </w:rPr>
              <w:t xml:space="preserve">предпринимателе в единый государственный</w:t>
            </w:r>
          </w:p>
          <w:p>
            <w:pPr>
              <w:pStyle w:val="0"/>
              <w:jc w:val="both"/>
            </w:pPr>
            <w:r>
              <w:rPr>
                <w:sz w:val="24"/>
              </w:rPr>
              <w:t xml:space="preserve">реестр индивидуальных предпринимателей, ____________________________________</w:t>
            </w:r>
          </w:p>
        </w:tc>
      </w:tr>
      <w:tr>
        <w:tc>
          <w:tcPr>
            <w:gridSpan w:val="5"/>
            <w:tcW w:w="9069" w:type="dxa"/>
            <w:tcBorders>
              <w:top w:val="nil"/>
              <w:left w:val="nil"/>
              <w:bottom w:val="nil"/>
              <w:right w:val="nil"/>
            </w:tcBorders>
          </w:tcPr>
          <w:p>
            <w:pPr>
              <w:pStyle w:val="0"/>
              <w:jc w:val="both"/>
            </w:pPr>
            <w:r>
              <w:rPr>
                <w:sz w:val="24"/>
              </w:rPr>
              <w:t xml:space="preserve">3. Код по Общероссийскому </w:t>
            </w:r>
            <w:r>
              <w:rPr>
                <w:sz w:val="24"/>
              </w:rPr>
              <w:t xml:space="preserve">классификатору</w:t>
            </w:r>
            <w:r>
              <w:rPr>
                <w:sz w:val="24"/>
              </w:rPr>
              <w:t xml:space="preserve"> видов экономической деятельности ОК 029-2014 (КДЕС ред. 2) 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4. Код по Общероссийскому </w:t>
            </w:r>
            <w:r>
              <w:rPr>
                <w:sz w:val="24"/>
              </w:rPr>
              <w:t xml:space="preserve">классификатору</w:t>
            </w:r>
            <w:r>
              <w:rPr>
                <w:sz w:val="24"/>
              </w:rPr>
              <w:t xml:space="preserve"> объектов административно-территориального деления ОК 019-95 _________________________</w:t>
            </w:r>
          </w:p>
        </w:tc>
      </w:tr>
      <w:tr>
        <w:tc>
          <w:tcPr>
            <w:gridSpan w:val="5"/>
            <w:tcW w:w="9069" w:type="dxa"/>
            <w:tcBorders>
              <w:top w:val="nil"/>
              <w:left w:val="nil"/>
              <w:bottom w:val="nil"/>
              <w:right w:val="nil"/>
            </w:tcBorders>
          </w:tcPr>
          <w:p>
            <w:pPr>
              <w:pStyle w:val="0"/>
              <w:jc w:val="both"/>
            </w:pPr>
            <w:r>
              <w:rPr>
                <w:sz w:val="24"/>
              </w:rPr>
              <w:t xml:space="preserve">5. Код по Общероссийскому </w:t>
            </w:r>
            <w:r>
              <w:rPr>
                <w:sz w:val="24"/>
              </w:rPr>
              <w:t xml:space="preserve">классификатору</w:t>
            </w:r>
            <w:r>
              <w:rPr>
                <w:sz w:val="24"/>
              </w:rPr>
              <w:t xml:space="preserve"> территорий муниципальных образований ОК 033-2013 ______________________________________________________________</w:t>
            </w:r>
          </w:p>
        </w:tc>
      </w:tr>
      <w:tr>
        <w:tc>
          <w:tcPr>
            <w:gridSpan w:val="2"/>
            <w:tcW w:w="2973" w:type="dxa"/>
            <w:vAlign w:val="bottom"/>
            <w:tcBorders>
              <w:top w:val="nil"/>
              <w:left w:val="nil"/>
              <w:bottom w:val="nil"/>
              <w:right w:val="nil"/>
            </w:tcBorders>
          </w:tcPr>
          <w:p>
            <w:pPr>
              <w:pStyle w:val="0"/>
              <w:jc w:val="both"/>
            </w:pPr>
            <w:r>
              <w:rPr>
                <w:sz w:val="24"/>
              </w:rPr>
              <w:t xml:space="preserve">6. Контактная информация</w:t>
            </w:r>
          </w:p>
        </w:tc>
        <w:tc>
          <w:tcPr>
            <w:gridSpan w:val="3"/>
            <w:tcW w:w="6096" w:type="dxa"/>
            <w:tcBorders>
              <w:top w:val="nil"/>
              <w:left w:val="nil"/>
              <w:bottom w:val="single" w:sz="4"/>
              <w:right w:val="nil"/>
            </w:tcBorders>
          </w:tcPr>
          <w:p>
            <w:pPr>
              <w:pStyle w:val="0"/>
            </w:pPr>
            <w:r>
              <w:rPr>
                <w:sz w:val="24"/>
              </w:rPr>
            </w:r>
          </w:p>
        </w:tc>
      </w:tr>
      <w:tr>
        <w:tc>
          <w:tcPr>
            <w:gridSpan w:val="2"/>
            <w:tcW w:w="2973" w:type="dxa"/>
            <w:tcBorders>
              <w:top w:val="nil"/>
              <w:left w:val="nil"/>
              <w:bottom w:val="nil"/>
              <w:right w:val="nil"/>
            </w:tcBorders>
          </w:tcPr>
          <w:p>
            <w:pPr>
              <w:pStyle w:val="0"/>
            </w:pPr>
            <w:r>
              <w:rPr>
                <w:sz w:val="24"/>
              </w:rPr>
            </w:r>
          </w:p>
        </w:tc>
        <w:tc>
          <w:tcPr>
            <w:gridSpan w:val="3"/>
            <w:tcW w:w="6096" w:type="dxa"/>
            <w:tcBorders>
              <w:top w:val="single" w:sz="4"/>
              <w:left w:val="nil"/>
              <w:bottom w:val="nil"/>
              <w:right w:val="nil"/>
            </w:tcBorders>
          </w:tcPr>
          <w:p>
            <w:pPr>
              <w:pStyle w:val="0"/>
              <w:jc w:val="center"/>
            </w:pPr>
            <w:r>
              <w:rPr>
                <w:sz w:val="24"/>
              </w:rPr>
              <w:t xml:space="preserve">(номера телефонов, адрес электронной почты (при наличии), должность и фамилия, имя, отчество (при наличии) лица, заполняющего отчетность)</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51" w:name="P251"/>
          <w:bookmarkEnd w:id="251"/>
          <w:p>
            <w:pPr>
              <w:pStyle w:val="0"/>
              <w:outlineLvl w:val="2"/>
              <w:jc w:val="center"/>
            </w:pPr>
            <w:r>
              <w:rPr>
                <w:sz w:val="24"/>
              </w:rPr>
              <w:t xml:space="preserve">Раздел II. Информация о товарах, упаковке, ввезенных на территорию Российской Федерации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center"/>
            </w:pPr>
            <w:r>
              <w:rPr>
                <w:sz w:val="24"/>
              </w:rPr>
              <w:t xml:space="preserve">1. Информация о товарах, упаковке, ввезенных из государств, не являющихся членами Евразийского экономического союза </w:t>
            </w:r>
            <w:hyperlink w:history="0" w:anchor="P487" w:tooltip="&lt;2&gt; В таблице 1 указываются номер и наименование группы товаров, упаковки, отходы от использования которых подлежат утилизации в отчетном периоде, в соответствии с разделами I и II перечней товаров, упаковки, отходы от использования которых подлежат утилизации, утвержденных постановлением Правительства Российской Федерации от 29 декабря 2023 г. N 2414 &quot;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
              <w:r>
                <w:rPr>
                  <w:sz w:val="24"/>
                  <w:color w:val="0000ff"/>
                </w:rPr>
                <w:t xml:space="preserve">&lt;2&gt;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55" w:name="P255"/>
          <w:bookmarkEnd w:id="255"/>
          <w:p>
            <w:pPr>
              <w:pStyle w:val="0"/>
              <w:outlineLvl w:val="4"/>
              <w:jc w:val="right"/>
            </w:pPr>
            <w:r>
              <w:rPr>
                <w:sz w:val="24"/>
              </w:rPr>
              <w:t xml:space="preserve">Таблица 1</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133"/>
        <w:gridCol w:w="1700"/>
        <w:gridCol w:w="1474"/>
        <w:gridCol w:w="1190"/>
        <w:gridCol w:w="2154"/>
        <w:gridCol w:w="1587"/>
        <w:gridCol w:w="850"/>
        <w:gridCol w:w="850"/>
        <w:gridCol w:w="1190"/>
        <w:gridCol w:w="1020"/>
      </w:tblGrid>
      <w:tr>
        <w:tc>
          <w:tcPr>
            <w:tcW w:w="454" w:type="dxa"/>
            <w:vMerge w:val="restart"/>
          </w:tcPr>
          <w:p>
            <w:pPr>
              <w:pStyle w:val="0"/>
              <w:jc w:val="center"/>
            </w:pPr>
            <w:r>
              <w:rPr>
                <w:sz w:val="24"/>
              </w:rPr>
              <w:t xml:space="preserve">N п/п</w:t>
            </w:r>
          </w:p>
        </w:tc>
        <w:tc>
          <w:tcPr>
            <w:tcW w:w="1133" w:type="dxa"/>
            <w:vMerge w:val="restart"/>
          </w:tcPr>
          <w:p>
            <w:pPr>
              <w:pStyle w:val="0"/>
              <w:jc w:val="center"/>
            </w:pPr>
            <w:r>
              <w:rPr>
                <w:sz w:val="24"/>
              </w:rPr>
              <w:t xml:space="preserve">Наименование товара, упаковки </w:t>
            </w:r>
            <w:hyperlink w:history="0" w:anchor="P487" w:tooltip="&lt;2&gt; В таблице 1 указываются номер и наименование группы товаров, упаковки, отходы от использования которых подлежат утилизации в отчетном периоде, в соответствии с разделами I и II перечней товаров, упаковки, отходы от использования которых подлежат утилизации, утвержденных постановлением Правительства Российской Федерации от 29 декабря 2023 г. N 2414 &quot;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
              <w:r>
                <w:rPr>
                  <w:sz w:val="24"/>
                  <w:color w:val="0000ff"/>
                </w:rPr>
                <w:t xml:space="preserve">&lt;2&gt;</w:t>
              </w:r>
            </w:hyperlink>
          </w:p>
        </w:tc>
        <w:tc>
          <w:tcPr>
            <w:tcW w:w="1700" w:type="dxa"/>
            <w:vMerge w:val="restart"/>
          </w:tcPr>
          <w:p>
            <w:pPr>
              <w:pStyle w:val="0"/>
              <w:jc w:val="center"/>
            </w:pPr>
            <w:r>
              <w:rPr>
                <w:sz w:val="24"/>
              </w:rPr>
              <w:t xml:space="preserve">Наименование позиции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 </w:t>
            </w:r>
            <w:hyperlink w:history="0" w:anchor="P488" w:tooltip="&lt;3&gt; Наименование и код по каждому товару, упаковке указываются по единой Товарной номенклатуре внешнеэкономической деятельности Евразийского экономического союза (ТН ВЭД ЕАЭС).">
              <w:r>
                <w:rPr>
                  <w:sz w:val="24"/>
                  <w:color w:val="0000ff"/>
                </w:rPr>
                <w:t xml:space="preserve">&lt;3&gt;</w:t>
              </w:r>
            </w:hyperlink>
          </w:p>
        </w:tc>
        <w:tc>
          <w:tcPr>
            <w:tcW w:w="1474" w:type="dxa"/>
            <w:vMerge w:val="restart"/>
          </w:tcPr>
          <w:p>
            <w:pPr>
              <w:pStyle w:val="0"/>
              <w:jc w:val="center"/>
            </w:pPr>
            <w:r>
              <w:rPr>
                <w:sz w:val="24"/>
              </w:rPr>
              <w:t xml:space="preserve">Код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 </w:t>
            </w:r>
            <w:hyperlink w:history="0" w:anchor="P488" w:tooltip="&lt;3&gt; Наименование и код по каждому товару, упаковке указываются по единой Товарной номенклатуре внешнеэкономической деятельности Евразийского экономического союза (ТН ВЭД ЕАЭС).">
              <w:r>
                <w:rPr>
                  <w:sz w:val="24"/>
                  <w:color w:val="0000ff"/>
                </w:rPr>
                <w:t xml:space="preserve">&lt;3&gt;</w:t>
              </w:r>
            </w:hyperlink>
          </w:p>
        </w:tc>
        <w:tc>
          <w:tcPr>
            <w:gridSpan w:val="3"/>
            <w:tcW w:w="4931" w:type="dxa"/>
          </w:tcPr>
          <w:p>
            <w:pPr>
              <w:pStyle w:val="0"/>
              <w:jc w:val="center"/>
            </w:pPr>
            <w:r>
              <w:rPr>
                <w:sz w:val="24"/>
              </w:rPr>
              <w:t xml:space="preserve">Масса ввезенных товара, упаковки, кг</w:t>
            </w:r>
          </w:p>
        </w:tc>
        <w:tc>
          <w:tcPr>
            <w:gridSpan w:val="4"/>
            <w:tcW w:w="3910" w:type="dxa"/>
          </w:tcPr>
          <w:p>
            <w:pPr>
              <w:pStyle w:val="0"/>
              <w:jc w:val="center"/>
            </w:pPr>
            <w:r>
              <w:rPr>
                <w:sz w:val="24"/>
              </w:rPr>
              <w:t xml:space="preserve">Информация о товаре, упаковке, вывезенных из Российской Федерации</w:t>
            </w:r>
          </w:p>
        </w:tc>
      </w:tr>
      <w:tr>
        <w:tc>
          <w:tcPr>
            <w:vMerge w:val="continue"/>
          </w:tcPr>
          <w:p/>
        </w:tc>
        <w:tc>
          <w:tcPr>
            <w:vMerge w:val="continue"/>
          </w:tcPr>
          <w:p/>
        </w:tc>
        <w:tc>
          <w:tcPr>
            <w:vMerge w:val="continue"/>
          </w:tcPr>
          <w:p/>
        </w:tc>
        <w:tc>
          <w:tcPr>
            <w:vMerge w:val="continue"/>
          </w:tcPr>
          <w:p/>
        </w:tc>
        <w:tc>
          <w:tcPr>
            <w:tcW w:w="1190" w:type="dxa"/>
          </w:tcPr>
          <w:p>
            <w:pPr>
              <w:pStyle w:val="0"/>
              <w:jc w:val="center"/>
            </w:pPr>
            <w:r>
              <w:rPr>
                <w:sz w:val="24"/>
              </w:rPr>
              <w:t xml:space="preserve">масса ввезенных товара, упаковки, всего (М</w:t>
            </w:r>
            <w:r>
              <w:rPr>
                <w:sz w:val="24"/>
                <w:vertAlign w:val="subscript"/>
              </w:rPr>
              <w:t xml:space="preserve">т</w:t>
            </w:r>
            <w:r>
              <w:rPr>
                <w:sz w:val="24"/>
              </w:rPr>
              <w:t xml:space="preserve">), кг </w:t>
            </w:r>
            <w:hyperlink w:history="0" w:anchor="P489" w:tooltip="&lt;4&gt; Указывается общая масса ввезенных в течение отчетного года на территорию Российской Федерации товара, упаковки, отходы от использования которых подлежат утилизации (Мт.), определяемая как сумма значений в строках граф 6 и 7.">
              <w:r>
                <w:rPr>
                  <w:sz w:val="24"/>
                  <w:color w:val="0000ff"/>
                </w:rPr>
                <w:t xml:space="preserve">&lt;4&gt;</w:t>
              </w:r>
            </w:hyperlink>
          </w:p>
        </w:tc>
        <w:tc>
          <w:tcPr>
            <w:tcW w:w="2154" w:type="dxa"/>
          </w:tcPr>
          <w:p>
            <w:pPr>
              <w:pStyle w:val="0"/>
              <w:jc w:val="center"/>
            </w:pPr>
            <w:r>
              <w:rPr>
                <w:sz w:val="24"/>
              </w:rPr>
              <w:t xml:space="preserve">масса товара, упаковки, ввезенных в течение года, за исключением товара, упаковки, по которым подана информация в период проведения эксперимента (с 1 сентября 2024 г. по 1 сентября 2025 г.), кг </w:t>
            </w:r>
            <w:hyperlink w:history="0" w:anchor="P490" w:tooltip="&lt;5&gt; Указывается общая масса ввезенных с 1 января по 31 августа 2024 г. (в случае подачи настоящей отчетности за 2024 год) и с 1 сентября по 31 декабря 2025 г. (в случае подачи настоящей отчетности за 2025 год) на территорию Российской Федерации товара, упаковки, отходы от использования которых подлежат утилизации.">
              <w:r>
                <w:rPr>
                  <w:sz w:val="24"/>
                  <w:color w:val="0000ff"/>
                </w:rPr>
                <w:t xml:space="preserve">&lt;5&gt;</w:t>
              </w:r>
            </w:hyperlink>
          </w:p>
        </w:tc>
        <w:tc>
          <w:tcPr>
            <w:tcW w:w="1587" w:type="dxa"/>
          </w:tcPr>
          <w:p>
            <w:pPr>
              <w:pStyle w:val="0"/>
              <w:jc w:val="center"/>
            </w:pPr>
            <w:r>
              <w:rPr>
                <w:sz w:val="24"/>
              </w:rPr>
              <w:t xml:space="preserve">масса товара, упаковки, ввезенных в течение года в период проведения эксперимента (с 1 сентября 2024 г. по 1 сентября 2025 г.), кг </w:t>
            </w:r>
            <w:hyperlink w:history="0" w:anchor="P491" w:tooltip="&lt;6&gt; Указывается общая масса ввезенных на территорию Российской Федерации в период с 1 сентября 2024 г. по 1 сентября 2025 г. товара, упаковки, отходы от использования которых подлежат утилизации, включенных в перечень отдельных видов товаров, в том числе товаров в упаковке, участвующих в эксперименте, согласно приложению N 1 к Положению о проведении эксперимента в отношении отдельных групп товаров, в том числе товаров в упаковке, утвержденному постановлением Правительства Российской Федерации от 1 июня 2...">
              <w:r>
                <w:rPr>
                  <w:sz w:val="24"/>
                  <w:color w:val="0000ff"/>
                </w:rPr>
                <w:t xml:space="preserve">&lt;6&gt;</w:t>
              </w:r>
            </w:hyperlink>
          </w:p>
        </w:tc>
        <w:tc>
          <w:tcPr>
            <w:tcW w:w="850" w:type="dxa"/>
          </w:tcPr>
          <w:p>
            <w:pPr>
              <w:pStyle w:val="0"/>
              <w:jc w:val="center"/>
            </w:pPr>
            <w:r>
              <w:rPr>
                <w:sz w:val="24"/>
              </w:rPr>
              <w:t xml:space="preserve">масса товара, упаковки (М</w:t>
            </w:r>
            <w:r>
              <w:rPr>
                <w:sz w:val="24"/>
                <w:vertAlign w:val="subscript"/>
              </w:rPr>
              <w:t xml:space="preserve">выв.т.</w:t>
            </w:r>
            <w:r>
              <w:rPr>
                <w:sz w:val="24"/>
              </w:rPr>
              <w:t xml:space="preserve">), кг </w:t>
            </w:r>
            <w:hyperlink w:history="0" w:anchor="P492" w:tooltip="&lt;7&gt; Указывается масса товара, упаковки, которые в отчетном периоде ввезены на территорию Российской Федерации и которые вывезены из Российской Федерации (Мвыв.т.). Заполняется на основании таможенных документов и (или) на основании документов, полученных от других лиц (контрагентов) при осуществлении коммерческой деятельности, в случае, если вывоз товара, упаковки подтвержден в порядке, утверждаемом Правительством Российской Федерации в соответствии с пунктом 5 статьи 24.5 Федерального закона &quot;Об отходах...">
              <w:r>
                <w:rPr>
                  <w:sz w:val="24"/>
                  <w:color w:val="0000ff"/>
                </w:rPr>
                <w:t xml:space="preserve">&lt;7&gt;</w:t>
              </w:r>
            </w:hyperlink>
          </w:p>
        </w:tc>
        <w:tc>
          <w:tcPr>
            <w:tcW w:w="850" w:type="dxa"/>
          </w:tcPr>
          <w:p>
            <w:pPr>
              <w:pStyle w:val="0"/>
              <w:jc w:val="center"/>
            </w:pPr>
            <w:r>
              <w:rPr>
                <w:sz w:val="24"/>
              </w:rPr>
              <w:t xml:space="preserve">масса, товара, упаковки (М</w:t>
            </w:r>
            <w:r>
              <w:rPr>
                <w:sz w:val="24"/>
                <w:vertAlign w:val="subscript"/>
              </w:rPr>
              <w:t xml:space="preserve">пред.выв.т.</w:t>
            </w:r>
            <w:r>
              <w:rPr>
                <w:sz w:val="24"/>
              </w:rPr>
              <w:t xml:space="preserve">), кг </w:t>
            </w:r>
            <w:hyperlink w:history="0" w:anchor="P493" w:tooltip="&lt;8&gt; Указывается масса товара, упаковки, в отношении отходов от использования которых обязанность по выполнению их утилизации наступила в предыдущие отчетные периоды, в отношение которых в предыдущие отчетные периоды был уплачен экологический сбор и которые вывезены в отчетном периоде из Российской Федерации (Мпред.выв.т.). Заполняется на основании таможенных документов и (или) на основании документов, полученных от других лиц (контрагентов) при осуществлении коммерческой деятельности, в случае, если выво...">
              <w:r>
                <w:rPr>
                  <w:sz w:val="24"/>
                  <w:color w:val="0000ff"/>
                </w:rPr>
                <w:t xml:space="preserve">&lt;8&gt;</w:t>
              </w:r>
            </w:hyperlink>
          </w:p>
        </w:tc>
        <w:tc>
          <w:tcPr>
            <w:tcW w:w="1190" w:type="dxa"/>
          </w:tcPr>
          <w:p>
            <w:pPr>
              <w:pStyle w:val="0"/>
              <w:jc w:val="center"/>
            </w:pPr>
            <w:r>
              <w:rPr>
                <w:sz w:val="24"/>
              </w:rPr>
              <w:t xml:space="preserve">сведения о лицах, осуществивших вывоз товара, упаковки </w:t>
            </w:r>
            <w:hyperlink w:history="0" w:anchor="P494" w:tooltip="&lt;9&gt; В строке графы 10 отражается наименование юридического лица или фамилия, имя, отчество (при наличии) физического лица, являющегося индивидуальным предпринимателем, который осуществил вывоз товара, упаковки, его идентификационный номер налогоплательщика и основной государственный регистрационный номер либо указывается &quot;самостоятельно&quot;, если вывоз осуществлялся производителем товара, импортером товара. Заполняется в случае, если в отчетном периоде определенная масса товара, упаковки, сведения о которых...">
              <w:r>
                <w:rPr>
                  <w:sz w:val="24"/>
                  <w:color w:val="0000ff"/>
                </w:rPr>
                <w:t xml:space="preserve">&lt;9&gt;</w:t>
              </w:r>
            </w:hyperlink>
          </w:p>
        </w:tc>
        <w:tc>
          <w:tcPr>
            <w:tcW w:w="1020" w:type="dxa"/>
          </w:tcPr>
          <w:p>
            <w:pPr>
              <w:pStyle w:val="0"/>
              <w:jc w:val="center"/>
            </w:pPr>
            <w:r>
              <w:rPr>
                <w:sz w:val="24"/>
              </w:rPr>
              <w:t xml:space="preserve">реквизиты документов, подтверждающих вывоз товара, упаковки </w:t>
            </w:r>
            <w:hyperlink w:history="0" w:anchor="P495" w:tooltip="&lt;10&gt; В строке графы 11 отражаются реквизиты (номер, дата) документов, подтверждающих вывоз с территории Российской Федерации товара, упаковки, в случае, если в отчетном периоде определенная масса товара, упаковки, сведения о которых указаны в строках граф 2 - 4, вывозилась из Российской Федерации.">
              <w:r>
                <w:rPr>
                  <w:sz w:val="24"/>
                  <w:color w:val="0000ff"/>
                </w:rPr>
                <w:t xml:space="preserve">&lt;10&gt;</w:t>
              </w:r>
            </w:hyperlink>
          </w:p>
        </w:tc>
      </w:tr>
      <w:tr>
        <w:tc>
          <w:tcPr>
            <w:tcW w:w="454" w:type="dxa"/>
          </w:tcPr>
          <w:p>
            <w:pPr>
              <w:pStyle w:val="0"/>
              <w:jc w:val="center"/>
            </w:pPr>
            <w:r>
              <w:rPr>
                <w:sz w:val="24"/>
              </w:rPr>
              <w:t xml:space="preserve">1</w:t>
            </w:r>
          </w:p>
        </w:tc>
        <w:tc>
          <w:tcPr>
            <w:tcW w:w="1133" w:type="dxa"/>
          </w:tcPr>
          <w:bookmarkStart w:id="271" w:name="P271"/>
          <w:bookmarkEnd w:id="271"/>
          <w:p>
            <w:pPr>
              <w:pStyle w:val="0"/>
              <w:jc w:val="center"/>
            </w:pPr>
            <w:r>
              <w:rPr>
                <w:sz w:val="24"/>
              </w:rPr>
              <w:t xml:space="preserve">2</w:t>
            </w:r>
          </w:p>
        </w:tc>
        <w:tc>
          <w:tcPr>
            <w:tcW w:w="1700" w:type="dxa"/>
          </w:tcPr>
          <w:p>
            <w:pPr>
              <w:pStyle w:val="0"/>
              <w:jc w:val="center"/>
            </w:pPr>
            <w:r>
              <w:rPr>
                <w:sz w:val="24"/>
              </w:rPr>
              <w:t xml:space="preserve">3</w:t>
            </w:r>
          </w:p>
        </w:tc>
        <w:tc>
          <w:tcPr>
            <w:tcW w:w="1474" w:type="dxa"/>
          </w:tcPr>
          <w:bookmarkStart w:id="273" w:name="P273"/>
          <w:bookmarkEnd w:id="273"/>
          <w:p>
            <w:pPr>
              <w:pStyle w:val="0"/>
              <w:jc w:val="center"/>
            </w:pPr>
            <w:r>
              <w:rPr>
                <w:sz w:val="24"/>
              </w:rPr>
              <w:t xml:space="preserve">4</w:t>
            </w:r>
          </w:p>
        </w:tc>
        <w:tc>
          <w:tcPr>
            <w:tcW w:w="1190" w:type="dxa"/>
          </w:tcPr>
          <w:bookmarkStart w:id="274" w:name="P274"/>
          <w:bookmarkEnd w:id="274"/>
          <w:p>
            <w:pPr>
              <w:pStyle w:val="0"/>
              <w:jc w:val="center"/>
            </w:pPr>
            <w:r>
              <w:rPr>
                <w:sz w:val="24"/>
              </w:rPr>
              <w:t xml:space="preserve">5</w:t>
            </w:r>
          </w:p>
        </w:tc>
        <w:tc>
          <w:tcPr>
            <w:tcW w:w="2154" w:type="dxa"/>
          </w:tcPr>
          <w:bookmarkStart w:id="275" w:name="P275"/>
          <w:bookmarkEnd w:id="275"/>
          <w:p>
            <w:pPr>
              <w:pStyle w:val="0"/>
              <w:jc w:val="center"/>
            </w:pPr>
            <w:r>
              <w:rPr>
                <w:sz w:val="24"/>
              </w:rPr>
              <w:t xml:space="preserve">6</w:t>
            </w:r>
          </w:p>
        </w:tc>
        <w:tc>
          <w:tcPr>
            <w:tcW w:w="1587" w:type="dxa"/>
          </w:tcPr>
          <w:bookmarkStart w:id="276" w:name="P276"/>
          <w:bookmarkEnd w:id="276"/>
          <w:p>
            <w:pPr>
              <w:pStyle w:val="0"/>
              <w:jc w:val="center"/>
            </w:pPr>
            <w:r>
              <w:rPr>
                <w:sz w:val="24"/>
              </w:rPr>
              <w:t xml:space="preserve">7</w:t>
            </w:r>
          </w:p>
        </w:tc>
        <w:tc>
          <w:tcPr>
            <w:tcW w:w="850" w:type="dxa"/>
          </w:tcPr>
          <w:bookmarkStart w:id="277" w:name="P277"/>
          <w:bookmarkEnd w:id="277"/>
          <w:p>
            <w:pPr>
              <w:pStyle w:val="0"/>
              <w:jc w:val="center"/>
            </w:pPr>
            <w:r>
              <w:rPr>
                <w:sz w:val="24"/>
              </w:rPr>
              <w:t xml:space="preserve">8</w:t>
            </w:r>
          </w:p>
        </w:tc>
        <w:tc>
          <w:tcPr>
            <w:tcW w:w="850" w:type="dxa"/>
          </w:tcPr>
          <w:bookmarkStart w:id="278" w:name="P278"/>
          <w:bookmarkEnd w:id="278"/>
          <w:p>
            <w:pPr>
              <w:pStyle w:val="0"/>
              <w:jc w:val="center"/>
            </w:pPr>
            <w:r>
              <w:rPr>
                <w:sz w:val="24"/>
              </w:rPr>
              <w:t xml:space="preserve">9</w:t>
            </w:r>
          </w:p>
        </w:tc>
        <w:tc>
          <w:tcPr>
            <w:tcW w:w="1190" w:type="dxa"/>
          </w:tcPr>
          <w:bookmarkStart w:id="279" w:name="P279"/>
          <w:bookmarkEnd w:id="279"/>
          <w:p>
            <w:pPr>
              <w:pStyle w:val="0"/>
              <w:jc w:val="center"/>
            </w:pPr>
            <w:r>
              <w:rPr>
                <w:sz w:val="24"/>
              </w:rPr>
              <w:t xml:space="preserve">10</w:t>
            </w:r>
          </w:p>
        </w:tc>
        <w:tc>
          <w:tcPr>
            <w:tcW w:w="1020" w:type="dxa"/>
          </w:tcPr>
          <w:bookmarkStart w:id="280" w:name="P280"/>
          <w:bookmarkEnd w:id="280"/>
          <w:p>
            <w:pPr>
              <w:pStyle w:val="0"/>
              <w:jc w:val="center"/>
            </w:pPr>
            <w:r>
              <w:rPr>
                <w:sz w:val="24"/>
              </w:rPr>
              <w:t xml:space="preserve">11</w:t>
            </w:r>
          </w:p>
        </w:tc>
      </w:tr>
      <w:tr>
        <w:tc>
          <w:tcPr>
            <w:tcW w:w="454" w:type="dxa"/>
          </w:tcPr>
          <w:p>
            <w:pPr>
              <w:pStyle w:val="0"/>
            </w:pPr>
            <w:r>
              <w:rPr>
                <w:sz w:val="24"/>
              </w:rPr>
            </w:r>
          </w:p>
        </w:tc>
        <w:tc>
          <w:tcPr>
            <w:gridSpan w:val="10"/>
            <w:tcW w:w="13148" w:type="dxa"/>
          </w:tcPr>
          <w:p>
            <w:pPr>
              <w:pStyle w:val="0"/>
              <w:jc w:val="center"/>
            </w:pPr>
            <w:r>
              <w:rPr>
                <w:sz w:val="24"/>
              </w:rPr>
              <w:t xml:space="preserve">группа N ...</w:t>
            </w:r>
          </w:p>
        </w:tc>
      </w:tr>
      <w:tr>
        <w:tc>
          <w:tcPr>
            <w:tcW w:w="454" w:type="dxa"/>
          </w:tcPr>
          <w:p>
            <w:pPr>
              <w:pStyle w:val="0"/>
            </w:pPr>
            <w:r>
              <w:rPr>
                <w:sz w:val="24"/>
              </w:rPr>
            </w:r>
          </w:p>
        </w:tc>
        <w:tc>
          <w:tcPr>
            <w:tcW w:w="1133" w:type="dxa"/>
          </w:tcPr>
          <w:p>
            <w:pPr>
              <w:pStyle w:val="0"/>
            </w:pPr>
            <w:r>
              <w:rPr>
                <w:sz w:val="24"/>
              </w:rPr>
            </w:r>
          </w:p>
        </w:tc>
        <w:tc>
          <w:tcPr>
            <w:tcW w:w="1700" w:type="dxa"/>
          </w:tcPr>
          <w:p>
            <w:pPr>
              <w:pStyle w:val="0"/>
            </w:pPr>
            <w:r>
              <w:rPr>
                <w:sz w:val="24"/>
              </w:rPr>
            </w:r>
          </w:p>
        </w:tc>
        <w:tc>
          <w:tcPr>
            <w:tcW w:w="1474" w:type="dxa"/>
          </w:tcPr>
          <w:p>
            <w:pPr>
              <w:pStyle w:val="0"/>
            </w:pPr>
            <w:r>
              <w:rPr>
                <w:sz w:val="24"/>
              </w:rPr>
            </w:r>
          </w:p>
        </w:tc>
        <w:tc>
          <w:tcPr>
            <w:tcW w:w="1190" w:type="dxa"/>
          </w:tcPr>
          <w:p>
            <w:pPr>
              <w:pStyle w:val="0"/>
            </w:pPr>
            <w:r>
              <w:rPr>
                <w:sz w:val="24"/>
              </w:rPr>
            </w:r>
          </w:p>
        </w:tc>
        <w:tc>
          <w:tcPr>
            <w:tcW w:w="2154" w:type="dxa"/>
          </w:tcPr>
          <w:p>
            <w:pPr>
              <w:pStyle w:val="0"/>
            </w:pPr>
            <w:r>
              <w:rPr>
                <w:sz w:val="24"/>
              </w:rPr>
            </w:r>
          </w:p>
        </w:tc>
        <w:tc>
          <w:tcPr>
            <w:tcW w:w="1587"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190" w:type="dxa"/>
          </w:tcPr>
          <w:p>
            <w:pPr>
              <w:pStyle w:val="0"/>
            </w:pPr>
            <w:r>
              <w:rPr>
                <w:sz w:val="24"/>
              </w:rPr>
            </w:r>
          </w:p>
        </w:tc>
        <w:tc>
          <w:tcPr>
            <w:tcW w:w="1020" w:type="dxa"/>
          </w:tcPr>
          <w:p>
            <w:pPr>
              <w:pStyle w:val="0"/>
            </w:pPr>
            <w:r>
              <w:rPr>
                <w:sz w:val="24"/>
              </w:rPr>
            </w:r>
          </w:p>
        </w:tc>
      </w:tr>
      <w:tr>
        <w:tc>
          <w:tcPr>
            <w:tcW w:w="454" w:type="dxa"/>
          </w:tcPr>
          <w:p>
            <w:pPr>
              <w:pStyle w:val="0"/>
            </w:pPr>
            <w:r>
              <w:rPr>
                <w:sz w:val="24"/>
              </w:rPr>
            </w:r>
          </w:p>
        </w:tc>
        <w:tc>
          <w:tcPr>
            <w:tcW w:w="1133" w:type="dxa"/>
          </w:tcPr>
          <w:p>
            <w:pPr>
              <w:pStyle w:val="0"/>
            </w:pPr>
            <w:r>
              <w:rPr>
                <w:sz w:val="24"/>
              </w:rPr>
            </w:r>
          </w:p>
        </w:tc>
        <w:tc>
          <w:tcPr>
            <w:tcW w:w="1700" w:type="dxa"/>
          </w:tcPr>
          <w:p>
            <w:pPr>
              <w:pStyle w:val="0"/>
            </w:pPr>
            <w:r>
              <w:rPr>
                <w:sz w:val="24"/>
              </w:rPr>
            </w:r>
          </w:p>
        </w:tc>
        <w:tc>
          <w:tcPr>
            <w:tcW w:w="1474" w:type="dxa"/>
          </w:tcPr>
          <w:p>
            <w:pPr>
              <w:pStyle w:val="0"/>
            </w:pPr>
            <w:r>
              <w:rPr>
                <w:sz w:val="24"/>
              </w:rPr>
            </w:r>
          </w:p>
        </w:tc>
        <w:tc>
          <w:tcPr>
            <w:tcW w:w="1190" w:type="dxa"/>
          </w:tcPr>
          <w:p>
            <w:pPr>
              <w:pStyle w:val="0"/>
            </w:pPr>
            <w:r>
              <w:rPr>
                <w:sz w:val="24"/>
              </w:rPr>
            </w:r>
          </w:p>
        </w:tc>
        <w:tc>
          <w:tcPr>
            <w:tcW w:w="2154" w:type="dxa"/>
          </w:tcPr>
          <w:p>
            <w:pPr>
              <w:pStyle w:val="0"/>
            </w:pPr>
            <w:r>
              <w:rPr>
                <w:sz w:val="24"/>
              </w:rPr>
            </w:r>
          </w:p>
        </w:tc>
        <w:tc>
          <w:tcPr>
            <w:tcW w:w="1587"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190" w:type="dxa"/>
          </w:tcPr>
          <w:p>
            <w:pPr>
              <w:pStyle w:val="0"/>
            </w:pPr>
            <w:r>
              <w:rPr>
                <w:sz w:val="24"/>
              </w:rPr>
            </w:r>
          </w:p>
        </w:tc>
        <w:tc>
          <w:tcPr>
            <w:tcW w:w="1020" w:type="dxa"/>
          </w:tcPr>
          <w:p>
            <w:pPr>
              <w:pStyle w:val="0"/>
            </w:pPr>
            <w:r>
              <w:rPr>
                <w:sz w:val="24"/>
              </w:rPr>
            </w:r>
          </w:p>
        </w:tc>
      </w:tr>
    </w:tbl>
    <w:p>
      <w:pPr>
        <w:sectPr>
          <w:headerReference w:type="default" r:id="rId8"/>
          <w:headerReference w:type="first" r:id="rId8"/>
          <w:footerReference w:type="default" r:id="rId9"/>
          <w:footerReference w:type="first" r:id="rId9"/>
          <w:pgSz w:w="16838" w:h="11906" w:orient="landscape"/>
          <w:pgMar w:top="1133" w:right="1440" w:bottom="566" w:left="1440"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right"/>
            </w:pPr>
            <w:r>
              <w:rPr>
                <w:sz w:val="24"/>
              </w:rPr>
              <w:t xml:space="preserve">(продолжение таблицы 1)</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737"/>
        <w:gridCol w:w="680"/>
        <w:gridCol w:w="850"/>
        <w:gridCol w:w="794"/>
        <w:gridCol w:w="2211"/>
        <w:gridCol w:w="2211"/>
        <w:gridCol w:w="1361"/>
        <w:gridCol w:w="964"/>
        <w:gridCol w:w="1272"/>
        <w:gridCol w:w="1234"/>
        <w:gridCol w:w="907"/>
        <w:gridCol w:w="1166"/>
        <w:gridCol w:w="715"/>
      </w:tblGrid>
      <w:tr>
        <w:tc>
          <w:tcPr>
            <w:gridSpan w:val="7"/>
            <w:tcW w:w="8220" w:type="dxa"/>
          </w:tcPr>
          <w:p>
            <w:pPr>
              <w:pStyle w:val="0"/>
              <w:jc w:val="center"/>
            </w:pPr>
            <w:r>
              <w:rPr>
                <w:sz w:val="24"/>
              </w:rPr>
              <w:t xml:space="preserve">Информация о товаре, используемом в качестве сырья, материалов, запасных частей, комплектующих</w:t>
            </w:r>
          </w:p>
        </w:tc>
        <w:tc>
          <w:tcPr>
            <w:tcW w:w="1361" w:type="dxa"/>
            <w:vMerge w:val="restart"/>
          </w:tcPr>
          <w:p>
            <w:pPr>
              <w:pStyle w:val="0"/>
              <w:jc w:val="center"/>
            </w:pPr>
            <w:r>
              <w:rPr>
                <w:sz w:val="24"/>
              </w:rPr>
              <w:t xml:space="preserve">Масса товара, упаковки, в отношении которых возникает обязанность обеспечивать утилизацию отходов от использования товаров (без учета норматива утилизации), всего (М</w:t>
            </w:r>
            <w:r>
              <w:rPr>
                <w:sz w:val="24"/>
                <w:vertAlign w:val="subscript"/>
              </w:rPr>
              <w:t xml:space="preserve">обяз.т.</w:t>
            </w:r>
            <w:r>
              <w:rPr>
                <w:sz w:val="24"/>
              </w:rPr>
              <w:t xml:space="preserve">), кг </w:t>
            </w:r>
            <w:hyperlink w:history="0" w:anchor="P505" w:tooltip="&lt;17&gt; Указывается масса отходов от использования товара, упаковки, подлежащих утилизации в отчетном периоде без учета норматива утилизации (Мобяз.т.), определяется как разница между значениями Мт. (графа 5), и Мвыв.т. (графа 8), и Мзап. (графа 12). Строка графы 19 заполняется автоматически при использовании интерактивных форм отчетности электронного сервиса &quot;личный кабинет&quot; единой федеральной государственной информационной системы учета отходов от использования товаров (далее - интерактивные формы отчетно...">
              <w:r>
                <w:rPr>
                  <w:sz w:val="24"/>
                  <w:color w:val="0000ff"/>
                </w:rPr>
                <w:t xml:space="preserve">&lt;17&gt;</w:t>
              </w:r>
            </w:hyperlink>
          </w:p>
        </w:tc>
        <w:tc>
          <w:tcPr>
            <w:tcW w:w="964" w:type="dxa"/>
            <w:vMerge w:val="restart"/>
          </w:tcPr>
          <w:p>
            <w:pPr>
              <w:pStyle w:val="0"/>
              <w:jc w:val="center"/>
            </w:pPr>
            <w:r>
              <w:rPr>
                <w:sz w:val="24"/>
              </w:rPr>
              <w:t xml:space="preserve">Норматив утилизации (N), процентов </w:t>
            </w:r>
            <w:hyperlink w:history="0" w:anchor="P506" w:tooltip="&lt;18&gt; Указывается норматив утилизации отходов от использования товара, упаковки, установленный Правительством Российской Федерации в соответствии с пунктом 2 статьи 24.2 Федерального закона &quot;Об отходах производства и потребления&quot;, и (или) процент массы упаковки, отходы от использования которой подлежат утилизации в размере, установленном частью 5 статьи 7 Федерального закона от 4 августа 2023 г. N 451-ФЗ &quot;О внесении изменений в Федеральный закон &quot;Об отходах производства и потребления&quot; и отдельные законода...">
              <w:r>
                <w:rPr>
                  <w:sz w:val="24"/>
                  <w:color w:val="0000ff"/>
                </w:rPr>
                <w:t xml:space="preserve">&lt;18&gt;</w:t>
              </w:r>
            </w:hyperlink>
          </w:p>
        </w:tc>
        <w:tc>
          <w:tcPr>
            <w:tcW w:w="1272" w:type="dxa"/>
            <w:vMerge w:val="restart"/>
          </w:tcPr>
          <w:p>
            <w:pPr>
              <w:pStyle w:val="0"/>
              <w:jc w:val="center"/>
            </w:pPr>
            <w:r>
              <w:rPr>
                <w:sz w:val="24"/>
              </w:rPr>
              <w:t xml:space="preserve">Масса отходов от использования товаров, упаковки, подлежащих утилизации (с учетом норматива утилизации) (М</w:t>
            </w:r>
            <w:r>
              <w:rPr>
                <w:sz w:val="24"/>
                <w:vertAlign w:val="subscript"/>
              </w:rPr>
              <w:t xml:space="preserve">подл.ут.н.),</w:t>
            </w:r>
            <w:r>
              <w:rPr>
                <w:sz w:val="24"/>
              </w:rPr>
              <w:t xml:space="preserve"> кг </w:t>
            </w:r>
            <w:hyperlink w:history="0" w:anchor="P507" w:tooltip="&lt;19&gt; Указывается масса отходов от использования товара, упаковки, подлежащих утилизации в отчетном периоде, с учетом норматива утилизации (Мподл.ут.н.), определяемая как произведение значений Мобяз.т. (графа 19) и N (графа 20), деленное на 100. Строка графы 21 заполняется автоматически при использовании интерактивных форм отчетности.">
              <w:r>
                <w:rPr>
                  <w:sz w:val="24"/>
                  <w:color w:val="0000ff"/>
                </w:rPr>
                <w:t xml:space="preserve">&lt;19&gt;</w:t>
              </w:r>
            </w:hyperlink>
          </w:p>
        </w:tc>
        <w:tc>
          <w:tcPr>
            <w:tcW w:w="1234" w:type="dxa"/>
            <w:vMerge w:val="restart"/>
          </w:tcPr>
          <w:p>
            <w:pPr>
              <w:pStyle w:val="0"/>
              <w:jc w:val="center"/>
            </w:pPr>
            <w:r>
              <w:rPr>
                <w:sz w:val="24"/>
              </w:rPr>
              <w:t xml:space="preserve">Масса отходов от использования товаров, упаковки, в отношении которых уплачен экологический сбор (М</w:t>
            </w:r>
            <w:r>
              <w:rPr>
                <w:sz w:val="24"/>
                <w:vertAlign w:val="subscript"/>
              </w:rPr>
              <w:t xml:space="preserve">упл.эс.т.</w:t>
            </w:r>
            <w:r>
              <w:rPr>
                <w:sz w:val="24"/>
              </w:rPr>
              <w:t xml:space="preserve">), кг </w:t>
            </w:r>
            <w:hyperlink w:history="0" w:anchor="P508" w:tooltip="&lt;20&gt; Указывается масса отходов от использования товара, упаковки, в отношении которых в период с 1 сентября 2024 г. по 1 сентября 2025 г. в отчетном году уплачен экологический сбор в соответствии с пунктом 10 статьи 24.2-1 Федерального закона &quot;Об отходах производства и потребления&quot; (Мупл.эс.т.).">
              <w:r>
                <w:rPr>
                  <w:sz w:val="24"/>
                  <w:color w:val="0000ff"/>
                </w:rPr>
                <w:t xml:space="preserve">&lt;20&gt;</w:t>
              </w:r>
            </w:hyperlink>
          </w:p>
        </w:tc>
        <w:tc>
          <w:tcPr>
            <w:tcW w:w="907" w:type="dxa"/>
            <w:vMerge w:val="restart"/>
          </w:tcPr>
          <w:p>
            <w:pPr>
              <w:pStyle w:val="0"/>
              <w:jc w:val="center"/>
            </w:pPr>
            <w:r>
              <w:rPr>
                <w:sz w:val="24"/>
              </w:rPr>
              <w:t xml:space="preserve">Реквизиты документов об уплате экологического сбора </w:t>
            </w:r>
            <w:hyperlink w:history="0" w:anchor="P509" w:tooltip="&lt;21&gt; Указываются реквизиты документа (номер, дата) об уплате экологического сбора, уплаченного в качестве обеспечения утилизации отходов от использования товара, упаковки, сведения о которых указаны в строках граф 2 - 4, в период с 1 сентября 2024 г. по 1 сентября 2025 г. в отчетном году в соответствии с пунктом 10 статьи 24.2-1 Федерального закона &quot;Об отходах производства и потребления&quot;.">
              <w:r>
                <w:rPr>
                  <w:sz w:val="24"/>
                  <w:color w:val="0000ff"/>
                </w:rPr>
                <w:t xml:space="preserve">&lt;21&gt;</w:t>
              </w:r>
            </w:hyperlink>
          </w:p>
        </w:tc>
        <w:tc>
          <w:tcPr>
            <w:tcW w:w="1166" w:type="dxa"/>
            <w:vMerge w:val="restart"/>
          </w:tcPr>
          <w:p>
            <w:pPr>
              <w:pStyle w:val="0"/>
              <w:jc w:val="center"/>
            </w:pPr>
            <w:r>
              <w:rPr>
                <w:sz w:val="24"/>
              </w:rPr>
              <w:t xml:space="preserve">Масса отходов от использования товаров, упаковки, в отношении которых сохраняется обязанность обеспечить утилизацию, кг </w:t>
            </w:r>
            <w:hyperlink w:history="0" w:anchor="P510" w:tooltip="&lt;22&gt; Указывается масса отходов от использования товара, упаковки, в отношении которых сохраняется обязанность обеспечить утилизацию, определяется как разница значений Мподл.ут.н. (графа 21) и Мупл.эс.т. (графа 22). Строка графы 24 заполняется автоматически при использовании интерактивных форм отчетности.">
              <w:r>
                <w:rPr>
                  <w:sz w:val="24"/>
                  <w:color w:val="0000ff"/>
                </w:rPr>
                <w:t xml:space="preserve">&lt;22&gt;</w:t>
              </w:r>
            </w:hyperlink>
          </w:p>
        </w:tc>
        <w:tc>
          <w:tcPr>
            <w:tcW w:w="715" w:type="dxa"/>
            <w:vMerge w:val="restart"/>
          </w:tcPr>
          <w:p>
            <w:pPr>
              <w:pStyle w:val="0"/>
              <w:jc w:val="center"/>
            </w:pPr>
            <w:r>
              <w:rPr>
                <w:sz w:val="24"/>
              </w:rPr>
              <w:t xml:space="preserve">Примечание </w:t>
            </w:r>
            <w:hyperlink w:history="0" w:anchor="P511" w:tooltip="&lt;23&gt; Строка графы 25 таблицы 1 и строка графы 20 таблицы 2 заполняются при необходимости (на усмотрение импортера товара в случае необходимости представления разъяснений, дополнений и т.п.).">
              <w:r>
                <w:rPr>
                  <w:sz w:val="24"/>
                  <w:color w:val="0000ff"/>
                </w:rPr>
                <w:t xml:space="preserve">&lt;23&gt;</w:t>
              </w:r>
            </w:hyperlink>
          </w:p>
        </w:tc>
      </w:tr>
      <w:tr>
        <w:tc>
          <w:tcPr>
            <w:tcW w:w="737" w:type="dxa"/>
          </w:tcPr>
          <w:p>
            <w:pPr>
              <w:pStyle w:val="0"/>
              <w:jc w:val="center"/>
            </w:pPr>
            <w:r>
              <w:rPr>
                <w:sz w:val="24"/>
              </w:rPr>
              <w:t xml:space="preserve">масса товара, всего (М</w:t>
            </w:r>
            <w:r>
              <w:rPr>
                <w:sz w:val="24"/>
                <w:vertAlign w:val="subscript"/>
              </w:rPr>
              <w:t xml:space="preserve">зап.</w:t>
            </w:r>
            <w:r>
              <w:rPr>
                <w:sz w:val="24"/>
              </w:rPr>
              <w:t xml:space="preserve">), кг </w:t>
            </w:r>
            <w:hyperlink w:history="0" w:anchor="P496" w:tooltip="&lt;11&gt; Указывается общая масса товара, сведения о котором указаны в строках граф 2 - 4, используемого импортером товара (в случае, если импортер одновременно является производителем конечного товара) самостоятельно или переданного другим лицам в качестве сырья, материалов, запасных частей, комплектующих при производстве товаров, включенных в перечни товаров, упаковки, и при производстве транспортных средств, в отношении которых уплачивается утилизационный сбор и виды и категории которых устанавливаются в с...">
              <w:r>
                <w:rPr>
                  <w:sz w:val="24"/>
                  <w:color w:val="0000ff"/>
                </w:rPr>
                <w:t xml:space="preserve">&lt;11&gt;</w:t>
              </w:r>
            </w:hyperlink>
          </w:p>
        </w:tc>
        <w:tc>
          <w:tcPr>
            <w:tcW w:w="737" w:type="dxa"/>
          </w:tcPr>
          <w:p>
            <w:pPr>
              <w:pStyle w:val="0"/>
              <w:jc w:val="center"/>
            </w:pPr>
            <w:r>
              <w:rPr>
                <w:sz w:val="24"/>
              </w:rPr>
              <w:t xml:space="preserve">масса используемого товара, кг </w:t>
            </w:r>
            <w:hyperlink w:history="0" w:anchor="P497" w:tooltip="&lt;12&gt; Указывается масса товара, сведения о котором указаны в строках граф 2 - 4, используемого импортером товара (в случае, если импортер одновременно является производителем конечного товара) самостоятельно в качестве сырья, материалов, запасных частей, комплектующих при производстве товаров, включенных в перечни товаров, упаковки, и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пунктом 2 статьи 24.1...">
              <w:r>
                <w:rPr>
                  <w:sz w:val="24"/>
                  <w:color w:val="0000ff"/>
                </w:rPr>
                <w:t xml:space="preserve">&lt;12&gt;</w:t>
              </w:r>
            </w:hyperlink>
          </w:p>
        </w:tc>
        <w:tc>
          <w:tcPr>
            <w:tcW w:w="680" w:type="dxa"/>
          </w:tcPr>
          <w:p>
            <w:pPr>
              <w:pStyle w:val="0"/>
              <w:jc w:val="center"/>
            </w:pPr>
            <w:r>
              <w:rPr>
                <w:sz w:val="24"/>
              </w:rPr>
              <w:t xml:space="preserve">масса пере данного другим лицам товара </w:t>
            </w:r>
            <w:hyperlink w:history="0" w:anchor="P498" w:tooltip="&lt;13&gt; Указывается масса товара, сведения о котором указаны в строках граф 2 - 4, переданного другим лицам в качестве сырья, материалов, запасных частей, комплектующих при производстве товаров, включенных в перечни товаров, упаковки, и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пунктом 2 статьи 24.1 Федерального закона &quot;Об отходах производства и потребления&quot;. В случае отсутствия у импортера товара и...">
              <w:r>
                <w:rPr>
                  <w:sz w:val="24"/>
                  <w:color w:val="0000ff"/>
                </w:rPr>
                <w:t xml:space="preserve">&lt;13&gt;</w:t>
              </w:r>
            </w:hyperlink>
          </w:p>
        </w:tc>
        <w:tc>
          <w:tcPr>
            <w:tcW w:w="850" w:type="dxa"/>
          </w:tcPr>
          <w:p>
            <w:pPr>
              <w:pStyle w:val="0"/>
              <w:jc w:val="center"/>
            </w:pPr>
            <w:r>
              <w:rPr>
                <w:sz w:val="24"/>
              </w:rPr>
              <w:t xml:space="preserve">сведения о лицах, которым передан товар </w:t>
            </w:r>
            <w:hyperlink w:history="0" w:anchor="P499" w:tooltip="&lt;14&gt; Указывается наименование юридического лица или фамилия, имя, отчество (при наличии) физического лица, являющегося индивидуальным предпринимателем, сведения о котором в качестве производителя, импортера товара содержатся в реестре таких лиц, являющемся информационной подсистемой единой федеральной государственной информационной системы учета отходов от использования товаров, и которому передан товар, сведения о котором указаны в строках граф 2 - 4, для использования в качестве сырья, материалов, запа...">
              <w:r>
                <w:rPr>
                  <w:sz w:val="24"/>
                  <w:color w:val="0000ff"/>
                </w:rPr>
                <w:t xml:space="preserve">&lt;14&gt;</w:t>
              </w:r>
            </w:hyperlink>
          </w:p>
        </w:tc>
        <w:tc>
          <w:tcPr>
            <w:tcW w:w="794" w:type="dxa"/>
          </w:tcPr>
          <w:p>
            <w:pPr>
              <w:pStyle w:val="0"/>
              <w:jc w:val="center"/>
            </w:pPr>
            <w:r>
              <w:rPr>
                <w:sz w:val="24"/>
              </w:rPr>
              <w:t xml:space="preserve">реквизиты документов, подтверждающих передачу товара </w:t>
            </w:r>
            <w:hyperlink w:history="0" w:anchor="P501" w:tooltip="&lt;15&gt; Указываются реквизиты (номер, дата) товарно-сопроводительных документов и иных документов (договоры, заключенные между импортером товара, реализуемого в качестве сырья, материалов, запасных частей, комплектующих, и юридическим лицом или индивидуальным предпринимателем (производителем конечного товара), которому импортер товара реализует их в качестве сырья, материалов, запасных частей, комплектующих, акты приема-передачи, акты выполненных работ и иные документы), подтверждающих передачу импортером т...">
              <w:r>
                <w:rPr>
                  <w:sz w:val="24"/>
                  <w:color w:val="0000ff"/>
                </w:rPr>
                <w:t xml:space="preserve">&lt;15&gt;</w:t>
              </w:r>
            </w:hyperlink>
          </w:p>
        </w:tc>
        <w:tc>
          <w:tcPr>
            <w:tcW w:w="2211" w:type="dxa"/>
          </w:tcPr>
          <w:p>
            <w:pPr>
              <w:pStyle w:val="0"/>
              <w:jc w:val="center"/>
            </w:pPr>
            <w:r>
              <w:rPr>
                <w:sz w:val="24"/>
              </w:rPr>
              <w:t xml:space="preserve">наименование товара (товаров), при производстве которого использован и (или) передан для использования товар в качестве сырья, материалов, запасных частей, комплектующих, по Общероссийскому </w:t>
            </w:r>
            <w:r>
              <w:rPr>
                <w:sz w:val="24"/>
              </w:rPr>
              <w:t xml:space="preserve">классификатору</w:t>
            </w:r>
            <w:r>
              <w:rPr>
                <w:sz w:val="24"/>
              </w:rPr>
              <w:t xml:space="preserve"> продукции по видам экономической деятельности ОК 034-2014 (КПЕС 2008) </w:t>
            </w:r>
            <w:hyperlink w:history="0" w:anchor="P502" w:tooltip="&lt;16&gt; Указываются наименование и код товара (товаров) по Общероссийскому классификатору продукции по видам экономической деятельности ОК 034-2014 (КПЕС 2008) согласно товарным позициям по товарам, упаковке разделов I и II перечней товаров, упаковки, при производстве которого в качестве сырья, материалов, запасных частей, комплектующих использован и (или) передан для использования товар, сведения о котором указаны в строках граф 2 - 4.">
              <w:r>
                <w:rPr>
                  <w:sz w:val="24"/>
                  <w:color w:val="0000ff"/>
                </w:rPr>
                <w:t xml:space="preserve">&lt;16&gt;</w:t>
              </w:r>
            </w:hyperlink>
          </w:p>
        </w:tc>
        <w:tc>
          <w:tcPr>
            <w:tcW w:w="2211" w:type="dxa"/>
          </w:tcPr>
          <w:p>
            <w:pPr>
              <w:pStyle w:val="0"/>
              <w:jc w:val="center"/>
            </w:pPr>
            <w:r>
              <w:rPr>
                <w:sz w:val="24"/>
              </w:rPr>
              <w:t xml:space="preserve">код товара (товаров), при производстве которого использован и (или) передан для использования товар в качестве сырья, материалов, запасных частей, комплектующих, по Общероссийскому </w:t>
            </w:r>
            <w:r>
              <w:rPr>
                <w:sz w:val="24"/>
              </w:rPr>
              <w:t xml:space="preserve">классификатору</w:t>
            </w:r>
            <w:r>
              <w:rPr>
                <w:sz w:val="24"/>
              </w:rPr>
              <w:t xml:space="preserve"> продукции по видам экономической деятельности ОК 034-2014 (КПЕС 2008) </w:t>
            </w:r>
            <w:hyperlink w:history="0" w:anchor="P502" w:tooltip="&lt;16&gt; Указываются наименование и код товара (товаров) по Общероссийскому классификатору продукции по видам экономической деятельности ОК 034-2014 (КПЕС 2008) согласно товарным позициям по товарам, упаковке разделов I и II перечней товаров, упаковки, при производстве которого в качестве сырья, материалов, запасных частей, комплектующих использован и (или) передан для использования товар, сведения о котором указаны в строках граф 2 - 4.">
              <w:r>
                <w:rPr>
                  <w:sz w:val="24"/>
                  <w:color w:val="0000ff"/>
                </w:rPr>
                <w:t xml:space="preserve">&lt;16&gt;</w:t>
              </w:r>
            </w:hyperlink>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737" w:type="dxa"/>
          </w:tcPr>
          <w:bookmarkStart w:id="323" w:name="P323"/>
          <w:bookmarkEnd w:id="323"/>
          <w:p>
            <w:pPr>
              <w:pStyle w:val="0"/>
              <w:jc w:val="center"/>
            </w:pPr>
            <w:r>
              <w:rPr>
                <w:sz w:val="24"/>
              </w:rPr>
              <w:t xml:space="preserve">12</w:t>
            </w:r>
          </w:p>
        </w:tc>
        <w:tc>
          <w:tcPr>
            <w:tcW w:w="737" w:type="dxa"/>
          </w:tcPr>
          <w:p>
            <w:pPr>
              <w:pStyle w:val="0"/>
              <w:jc w:val="center"/>
            </w:pPr>
            <w:r>
              <w:rPr>
                <w:sz w:val="24"/>
              </w:rPr>
              <w:t xml:space="preserve">13</w:t>
            </w:r>
          </w:p>
        </w:tc>
        <w:tc>
          <w:tcPr>
            <w:tcW w:w="680" w:type="dxa"/>
          </w:tcPr>
          <w:bookmarkStart w:id="325" w:name="P325"/>
          <w:bookmarkEnd w:id="325"/>
          <w:p>
            <w:pPr>
              <w:pStyle w:val="0"/>
              <w:jc w:val="center"/>
            </w:pPr>
            <w:r>
              <w:rPr>
                <w:sz w:val="24"/>
              </w:rPr>
              <w:t xml:space="preserve">14</w:t>
            </w:r>
          </w:p>
        </w:tc>
        <w:tc>
          <w:tcPr>
            <w:tcW w:w="850" w:type="dxa"/>
          </w:tcPr>
          <w:bookmarkStart w:id="326" w:name="P326"/>
          <w:bookmarkEnd w:id="326"/>
          <w:p>
            <w:pPr>
              <w:pStyle w:val="0"/>
              <w:jc w:val="center"/>
            </w:pPr>
            <w:r>
              <w:rPr>
                <w:sz w:val="24"/>
              </w:rPr>
              <w:t xml:space="preserve">15</w:t>
            </w:r>
          </w:p>
        </w:tc>
        <w:tc>
          <w:tcPr>
            <w:tcW w:w="794" w:type="dxa"/>
          </w:tcPr>
          <w:p>
            <w:pPr>
              <w:pStyle w:val="0"/>
              <w:jc w:val="center"/>
            </w:pPr>
            <w:r>
              <w:rPr>
                <w:sz w:val="24"/>
              </w:rPr>
              <w:t xml:space="preserve">16</w:t>
            </w:r>
          </w:p>
        </w:tc>
        <w:tc>
          <w:tcPr>
            <w:tcW w:w="2211" w:type="dxa"/>
          </w:tcPr>
          <w:bookmarkStart w:id="328" w:name="P328"/>
          <w:bookmarkEnd w:id="328"/>
          <w:p>
            <w:pPr>
              <w:pStyle w:val="0"/>
              <w:jc w:val="center"/>
            </w:pPr>
            <w:r>
              <w:rPr>
                <w:sz w:val="24"/>
              </w:rPr>
              <w:t xml:space="preserve">17</w:t>
            </w:r>
          </w:p>
        </w:tc>
        <w:tc>
          <w:tcPr>
            <w:tcW w:w="2211" w:type="dxa"/>
          </w:tcPr>
          <w:bookmarkStart w:id="329" w:name="P329"/>
          <w:bookmarkEnd w:id="329"/>
          <w:p>
            <w:pPr>
              <w:pStyle w:val="0"/>
              <w:jc w:val="center"/>
            </w:pPr>
            <w:r>
              <w:rPr>
                <w:sz w:val="24"/>
              </w:rPr>
              <w:t xml:space="preserve">18</w:t>
            </w:r>
          </w:p>
        </w:tc>
        <w:tc>
          <w:tcPr>
            <w:tcW w:w="1361" w:type="dxa"/>
          </w:tcPr>
          <w:bookmarkStart w:id="330" w:name="P330"/>
          <w:bookmarkEnd w:id="330"/>
          <w:p>
            <w:pPr>
              <w:pStyle w:val="0"/>
              <w:jc w:val="center"/>
            </w:pPr>
            <w:r>
              <w:rPr>
                <w:sz w:val="24"/>
              </w:rPr>
              <w:t xml:space="preserve">19</w:t>
            </w:r>
          </w:p>
        </w:tc>
        <w:tc>
          <w:tcPr>
            <w:tcW w:w="964" w:type="dxa"/>
          </w:tcPr>
          <w:bookmarkStart w:id="331" w:name="P331"/>
          <w:bookmarkEnd w:id="331"/>
          <w:p>
            <w:pPr>
              <w:pStyle w:val="0"/>
              <w:jc w:val="center"/>
            </w:pPr>
            <w:r>
              <w:rPr>
                <w:sz w:val="24"/>
              </w:rPr>
              <w:t xml:space="preserve">20</w:t>
            </w:r>
          </w:p>
        </w:tc>
        <w:tc>
          <w:tcPr>
            <w:tcW w:w="1272" w:type="dxa"/>
          </w:tcPr>
          <w:bookmarkStart w:id="332" w:name="P332"/>
          <w:bookmarkEnd w:id="332"/>
          <w:p>
            <w:pPr>
              <w:pStyle w:val="0"/>
              <w:jc w:val="center"/>
            </w:pPr>
            <w:r>
              <w:rPr>
                <w:sz w:val="24"/>
              </w:rPr>
              <w:t xml:space="preserve">21</w:t>
            </w:r>
          </w:p>
        </w:tc>
        <w:tc>
          <w:tcPr>
            <w:tcW w:w="1234" w:type="dxa"/>
          </w:tcPr>
          <w:bookmarkStart w:id="333" w:name="P333"/>
          <w:bookmarkEnd w:id="333"/>
          <w:p>
            <w:pPr>
              <w:pStyle w:val="0"/>
              <w:jc w:val="center"/>
            </w:pPr>
            <w:r>
              <w:rPr>
                <w:sz w:val="24"/>
              </w:rPr>
              <w:t xml:space="preserve">22</w:t>
            </w:r>
          </w:p>
        </w:tc>
        <w:tc>
          <w:tcPr>
            <w:tcW w:w="907" w:type="dxa"/>
          </w:tcPr>
          <w:p>
            <w:pPr>
              <w:pStyle w:val="0"/>
              <w:jc w:val="center"/>
            </w:pPr>
            <w:r>
              <w:rPr>
                <w:sz w:val="24"/>
              </w:rPr>
              <w:t xml:space="preserve">23</w:t>
            </w:r>
          </w:p>
        </w:tc>
        <w:tc>
          <w:tcPr>
            <w:tcW w:w="1166" w:type="dxa"/>
          </w:tcPr>
          <w:bookmarkStart w:id="335" w:name="P335"/>
          <w:bookmarkEnd w:id="335"/>
          <w:p>
            <w:pPr>
              <w:pStyle w:val="0"/>
              <w:jc w:val="center"/>
            </w:pPr>
            <w:r>
              <w:rPr>
                <w:sz w:val="24"/>
              </w:rPr>
              <w:t xml:space="preserve">24</w:t>
            </w:r>
          </w:p>
        </w:tc>
        <w:tc>
          <w:tcPr>
            <w:tcW w:w="715" w:type="dxa"/>
          </w:tcPr>
          <w:bookmarkStart w:id="336" w:name="P336"/>
          <w:bookmarkEnd w:id="336"/>
          <w:p>
            <w:pPr>
              <w:pStyle w:val="0"/>
              <w:jc w:val="center"/>
            </w:pPr>
            <w:r>
              <w:rPr>
                <w:sz w:val="24"/>
              </w:rPr>
              <w:t xml:space="preserve">25</w:t>
            </w:r>
          </w:p>
        </w:tc>
      </w:tr>
      <w:tr>
        <w:tc>
          <w:tcPr>
            <w:gridSpan w:val="10"/>
            <w:tcW w:w="11817" w:type="dxa"/>
          </w:tcPr>
          <w:p>
            <w:pPr>
              <w:pStyle w:val="0"/>
            </w:pPr>
            <w:r>
              <w:rPr>
                <w:sz w:val="24"/>
              </w:rPr>
            </w:r>
          </w:p>
        </w:tc>
        <w:tc>
          <w:tcPr>
            <w:gridSpan w:val="4"/>
            <w:tcW w:w="4022" w:type="dxa"/>
          </w:tcPr>
          <w:p>
            <w:pPr>
              <w:pStyle w:val="0"/>
            </w:pPr>
            <w:r>
              <w:rPr>
                <w:sz w:val="24"/>
              </w:rPr>
            </w:r>
          </w:p>
        </w:tc>
      </w:tr>
      <w:tr>
        <w:tc>
          <w:tcPr>
            <w:tcW w:w="737"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2211" w:type="dxa"/>
          </w:tcPr>
          <w:p>
            <w:pPr>
              <w:pStyle w:val="0"/>
            </w:pPr>
            <w:r>
              <w:rPr>
                <w:sz w:val="24"/>
              </w:rPr>
            </w:r>
          </w:p>
        </w:tc>
        <w:tc>
          <w:tcPr>
            <w:tcW w:w="2211" w:type="dxa"/>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1272" w:type="dxa"/>
          </w:tcPr>
          <w:p>
            <w:pPr>
              <w:pStyle w:val="0"/>
            </w:pPr>
            <w:r>
              <w:rPr>
                <w:sz w:val="24"/>
              </w:rPr>
            </w:r>
          </w:p>
        </w:tc>
        <w:tc>
          <w:tcPr>
            <w:tcW w:w="1234" w:type="dxa"/>
          </w:tcPr>
          <w:p>
            <w:pPr>
              <w:pStyle w:val="0"/>
            </w:pPr>
            <w:r>
              <w:rPr>
                <w:sz w:val="24"/>
              </w:rPr>
            </w:r>
          </w:p>
        </w:tc>
        <w:tc>
          <w:tcPr>
            <w:tcW w:w="907" w:type="dxa"/>
          </w:tcPr>
          <w:p>
            <w:pPr>
              <w:pStyle w:val="0"/>
            </w:pPr>
            <w:r>
              <w:rPr>
                <w:sz w:val="24"/>
              </w:rPr>
            </w:r>
          </w:p>
        </w:tc>
        <w:tc>
          <w:tcPr>
            <w:tcW w:w="1166" w:type="dxa"/>
          </w:tcPr>
          <w:p>
            <w:pPr>
              <w:pStyle w:val="0"/>
            </w:pPr>
            <w:r>
              <w:rPr>
                <w:sz w:val="24"/>
              </w:rPr>
            </w:r>
          </w:p>
        </w:tc>
        <w:tc>
          <w:tcPr>
            <w:tcW w:w="715" w:type="dxa"/>
          </w:tcPr>
          <w:p>
            <w:pPr>
              <w:pStyle w:val="0"/>
            </w:pPr>
            <w:r>
              <w:rPr>
                <w:sz w:val="24"/>
              </w:rPr>
            </w:r>
          </w:p>
        </w:tc>
      </w:tr>
      <w:tr>
        <w:tc>
          <w:tcPr>
            <w:tcW w:w="737"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2211" w:type="dxa"/>
          </w:tcPr>
          <w:p>
            <w:pPr>
              <w:pStyle w:val="0"/>
            </w:pPr>
            <w:r>
              <w:rPr>
                <w:sz w:val="24"/>
              </w:rPr>
            </w:r>
          </w:p>
        </w:tc>
        <w:tc>
          <w:tcPr>
            <w:tcW w:w="2211" w:type="dxa"/>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1272" w:type="dxa"/>
          </w:tcPr>
          <w:p>
            <w:pPr>
              <w:pStyle w:val="0"/>
            </w:pPr>
            <w:r>
              <w:rPr>
                <w:sz w:val="24"/>
              </w:rPr>
            </w:r>
          </w:p>
        </w:tc>
        <w:tc>
          <w:tcPr>
            <w:tcW w:w="1234" w:type="dxa"/>
          </w:tcPr>
          <w:p>
            <w:pPr>
              <w:pStyle w:val="0"/>
            </w:pPr>
            <w:r>
              <w:rPr>
                <w:sz w:val="24"/>
              </w:rPr>
            </w:r>
          </w:p>
        </w:tc>
        <w:tc>
          <w:tcPr>
            <w:tcW w:w="907" w:type="dxa"/>
          </w:tcPr>
          <w:p>
            <w:pPr>
              <w:pStyle w:val="0"/>
            </w:pPr>
            <w:r>
              <w:rPr>
                <w:sz w:val="24"/>
              </w:rPr>
            </w:r>
          </w:p>
        </w:tc>
        <w:tc>
          <w:tcPr>
            <w:tcW w:w="1166" w:type="dxa"/>
          </w:tcPr>
          <w:p>
            <w:pPr>
              <w:pStyle w:val="0"/>
            </w:pPr>
            <w:r>
              <w:rPr>
                <w:sz w:val="24"/>
              </w:rPr>
            </w:r>
          </w:p>
        </w:tc>
        <w:tc>
          <w:tcPr>
            <w:tcW w:w="715" w:type="dxa"/>
          </w:tcPr>
          <w:p>
            <w:pPr>
              <w:pStyle w:val="0"/>
            </w:pPr>
            <w:r>
              <w:rPr>
                <w:sz w:val="24"/>
              </w:rPr>
            </w:r>
          </w:p>
        </w:tc>
      </w:tr>
    </w:tbl>
    <w:p>
      <w:pPr>
        <w:sectPr>
          <w:headerReference w:type="default" r:id="rId8"/>
          <w:headerReference w:type="first" r:id="rId8"/>
          <w:footerReference w:type="default" r:id="rId9"/>
          <w:footerReference w:type="first" r:id="rId9"/>
          <w:pgSz w:w="16838" w:h="11906" w:orient="landscape"/>
          <w:pgMar w:top="1133" w:right="397" w:bottom="566" w:left="397"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center"/>
            </w:pPr>
            <w:r>
              <w:rPr>
                <w:sz w:val="24"/>
              </w:rPr>
              <w:t xml:space="preserve">2. Информация об упаковке товаров, ввезенных на территорию Российской Федерации </w:t>
            </w:r>
            <w:hyperlink w:history="0" w:anchor="P512" w:tooltip="&lt;24&gt; В таблице 2 указываются номер и наименование группы упаковки товаров в соответствии с разделом III перечней товаров, упаковки, а затем построчно позиции по упаковке товара - по каждому наименованию упаковки из указанных перечней, идентифицируемой по материалу, из которого сделана упаковка товара (для упаковки товаров из комбинированных материалов - по основному материалу по массе в композиции) и дополнительно по виду материала упаковки - отдельными строками (графа 2).">
              <w:r>
                <w:rPr>
                  <w:sz w:val="24"/>
                  <w:color w:val="0000ff"/>
                </w:rPr>
                <w:t xml:space="preserve">&lt;24&gt;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70" w:name="P370"/>
          <w:bookmarkEnd w:id="370"/>
          <w:p>
            <w:pPr>
              <w:pStyle w:val="0"/>
              <w:outlineLvl w:val="4"/>
              <w:jc w:val="right"/>
            </w:pPr>
            <w:r>
              <w:rPr>
                <w:sz w:val="24"/>
              </w:rPr>
              <w:t xml:space="preserve">Таблица 2</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931"/>
        <w:gridCol w:w="1417"/>
        <w:gridCol w:w="1417"/>
        <w:gridCol w:w="1360"/>
        <w:gridCol w:w="1417"/>
        <w:gridCol w:w="964"/>
        <w:gridCol w:w="2381"/>
        <w:gridCol w:w="1644"/>
        <w:gridCol w:w="850"/>
        <w:gridCol w:w="931"/>
        <w:gridCol w:w="1077"/>
        <w:gridCol w:w="1020"/>
      </w:tblGrid>
      <w:tr>
        <w:tc>
          <w:tcPr>
            <w:tcW w:w="510" w:type="dxa"/>
            <w:vMerge w:val="restart"/>
          </w:tcPr>
          <w:p>
            <w:pPr>
              <w:pStyle w:val="0"/>
              <w:jc w:val="center"/>
            </w:pPr>
            <w:r>
              <w:rPr>
                <w:sz w:val="24"/>
              </w:rPr>
              <w:t xml:space="preserve">N п/п</w:t>
            </w:r>
          </w:p>
        </w:tc>
        <w:tc>
          <w:tcPr>
            <w:tcW w:w="931" w:type="dxa"/>
            <w:vMerge w:val="restart"/>
          </w:tcPr>
          <w:p>
            <w:pPr>
              <w:pStyle w:val="0"/>
              <w:jc w:val="center"/>
            </w:pPr>
            <w:r>
              <w:rPr>
                <w:sz w:val="24"/>
              </w:rPr>
              <w:t xml:space="preserve">Наименование упаковки </w:t>
            </w:r>
            <w:hyperlink w:history="0" w:anchor="P512" w:tooltip="&lt;24&gt; В таблице 2 указываются номер и наименование группы упаковки товаров в соответствии с разделом III перечней товаров, упаковки, а затем построчно позиции по упаковке товара - по каждому наименованию упаковки из указанных перечней, идентифицируемой по материалу, из которого сделана упаковка товара (для упаковки товаров из комбинированных материалов - по основному материалу по массе в композиции) и дополнительно по виду материала упаковки - отдельными строками (графа 2).">
              <w:r>
                <w:rPr>
                  <w:sz w:val="24"/>
                  <w:color w:val="0000ff"/>
                </w:rPr>
                <w:t xml:space="preserve">&lt;24&gt;</w:t>
              </w:r>
            </w:hyperlink>
          </w:p>
        </w:tc>
        <w:tc>
          <w:tcPr>
            <w:tcW w:w="1417" w:type="dxa"/>
            <w:vMerge w:val="restart"/>
          </w:tcPr>
          <w:p>
            <w:pPr>
              <w:pStyle w:val="0"/>
              <w:jc w:val="center"/>
            </w:pPr>
            <w:r>
              <w:rPr>
                <w:sz w:val="24"/>
              </w:rPr>
              <w:t xml:space="preserve">Буквенное обозначение материала упаковки по техническому </w:t>
            </w:r>
            <w:r>
              <w:rPr>
                <w:sz w:val="24"/>
              </w:rPr>
              <w:t xml:space="preserve">регламенту</w:t>
            </w:r>
            <w:r>
              <w:rPr>
                <w:sz w:val="24"/>
              </w:rPr>
              <w:t xml:space="preserve"> Таможенного союза "О безопасности упаковки" (ТР ТС 005/2011) </w:t>
            </w:r>
            <w:hyperlink w:history="0" w:anchor="P513" w:tooltip="&lt;25&gt; Строки граф 3 - 6 заполняются импортером товара в зависимости от маркировки упаковки ввозимого товара в упаковке, позволяющей импортеру товара идентифицировать упаковку товара по буквенному обозначению и цифровому коду упаковки по техническому регламенту Таможенного союза &quot;О безопасности упаковки&quot; (ТР ТС 005/2011), и (или) по коду по Общероссийскому классификатору продукции по видам экономической деятельности ОК 034-2014 (КПЕС 2008), и (или) по коду единой Товарной номенклатуры внешнеэкономической д...">
              <w:r>
                <w:rPr>
                  <w:sz w:val="24"/>
                  <w:color w:val="0000ff"/>
                </w:rPr>
                <w:t xml:space="preserve">&lt;25&gt;</w:t>
              </w:r>
            </w:hyperlink>
          </w:p>
        </w:tc>
        <w:tc>
          <w:tcPr>
            <w:tcW w:w="1417" w:type="dxa"/>
            <w:vMerge w:val="restart"/>
          </w:tcPr>
          <w:p>
            <w:pPr>
              <w:pStyle w:val="0"/>
              <w:jc w:val="center"/>
            </w:pPr>
            <w:r>
              <w:rPr>
                <w:sz w:val="24"/>
              </w:rPr>
              <w:t xml:space="preserve">Цифровой код материала упаковки по техническому </w:t>
            </w:r>
            <w:r>
              <w:rPr>
                <w:sz w:val="24"/>
              </w:rPr>
              <w:t xml:space="preserve">регламенту</w:t>
            </w:r>
            <w:r>
              <w:rPr>
                <w:sz w:val="24"/>
              </w:rPr>
              <w:t xml:space="preserve"> Таможенного союза "О безопасности упаковки" (ТР ТС 005/2011) </w:t>
            </w:r>
            <w:hyperlink w:history="0" w:anchor="P513" w:tooltip="&lt;25&gt; Строки граф 3 - 6 заполняются импортером товара в зависимости от маркировки упаковки ввозимого товара в упаковке, позволяющей импортеру товара идентифицировать упаковку товара по буквенному обозначению и цифровому коду упаковки по техническому регламенту Таможенного союза &quot;О безопасности упаковки&quot; (ТР ТС 005/2011), и (или) по коду по Общероссийскому классификатору продукции по видам экономической деятельности ОК 034-2014 (КПЕС 2008), и (или) по коду единой Товарной номенклатуры внешнеэкономической д...">
              <w:r>
                <w:rPr>
                  <w:sz w:val="24"/>
                  <w:color w:val="0000ff"/>
                </w:rPr>
                <w:t xml:space="preserve">&lt;25&gt;</w:t>
              </w:r>
            </w:hyperlink>
          </w:p>
        </w:tc>
        <w:tc>
          <w:tcPr>
            <w:tcW w:w="1360" w:type="dxa"/>
            <w:vMerge w:val="restart"/>
          </w:tcPr>
          <w:p>
            <w:pPr>
              <w:pStyle w:val="0"/>
              <w:jc w:val="center"/>
            </w:pPr>
            <w:r>
              <w:rPr>
                <w:sz w:val="24"/>
              </w:rPr>
              <w:t xml:space="preserve">Код товара по Общероссийскому </w:t>
            </w:r>
            <w:r>
              <w:rPr>
                <w:sz w:val="24"/>
              </w:rPr>
              <w:t xml:space="preserve">классификатору</w:t>
            </w:r>
            <w:r>
              <w:rPr>
                <w:sz w:val="24"/>
              </w:rPr>
              <w:t xml:space="preserve"> продукции по видам экономической деятельности ОК 034-2014 (КПЕС 2008) </w:t>
            </w:r>
            <w:hyperlink w:history="0" w:anchor="P513" w:tooltip="&lt;25&gt; Строки граф 3 - 6 заполняются импортером товара в зависимости от маркировки упаковки ввозимого товара в упаковке, позволяющей импортеру товара идентифицировать упаковку товара по буквенному обозначению и цифровому коду упаковки по техническому регламенту Таможенного союза &quot;О безопасности упаковки&quot; (ТР ТС 005/2011), и (или) по коду по Общероссийскому классификатору продукции по видам экономической деятельности ОК 034-2014 (КПЕС 2008), и (или) по коду единой Товарной номенклатуры внешнеэкономической д...">
              <w:r>
                <w:rPr>
                  <w:sz w:val="24"/>
                  <w:color w:val="0000ff"/>
                </w:rPr>
                <w:t xml:space="preserve">&lt;25&gt;</w:t>
              </w:r>
            </w:hyperlink>
          </w:p>
        </w:tc>
        <w:tc>
          <w:tcPr>
            <w:tcW w:w="1417" w:type="dxa"/>
            <w:vMerge w:val="restart"/>
          </w:tcPr>
          <w:p>
            <w:pPr>
              <w:pStyle w:val="0"/>
              <w:jc w:val="center"/>
            </w:pPr>
            <w:r>
              <w:rPr>
                <w:sz w:val="24"/>
              </w:rPr>
              <w:t xml:space="preserve">Код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 </w:t>
            </w:r>
            <w:hyperlink w:history="0" w:anchor="P513" w:tooltip="&lt;25&gt; Строки граф 3 - 6 заполняются импортером товара в зависимости от маркировки упаковки ввозимого товара в упаковке, позволяющей импортеру товара идентифицировать упаковку товара по буквенному обозначению и цифровому коду упаковки по техническому регламенту Таможенного союза &quot;О безопасности упаковки&quot; (ТР ТС 005/2011), и (или) по коду по Общероссийскому классификатору продукции по видам экономической деятельности ОК 034-2014 (КПЕС 2008), и (или) по коду единой Товарной номенклатуры внешнеэкономической д...">
              <w:r>
                <w:rPr>
                  <w:sz w:val="24"/>
                  <w:color w:val="0000ff"/>
                </w:rPr>
                <w:t xml:space="preserve">&lt;25&gt;</w:t>
              </w:r>
            </w:hyperlink>
          </w:p>
        </w:tc>
        <w:tc>
          <w:tcPr>
            <w:gridSpan w:val="3"/>
            <w:tcW w:w="4989" w:type="dxa"/>
          </w:tcPr>
          <w:p>
            <w:pPr>
              <w:pStyle w:val="0"/>
              <w:jc w:val="center"/>
            </w:pPr>
            <w:r>
              <w:rPr>
                <w:sz w:val="24"/>
              </w:rPr>
              <w:t xml:space="preserve">Масса ввезенной упаковки, кг</w:t>
            </w:r>
          </w:p>
        </w:tc>
        <w:tc>
          <w:tcPr>
            <w:gridSpan w:val="4"/>
            <w:tcW w:w="3878" w:type="dxa"/>
          </w:tcPr>
          <w:p>
            <w:pPr>
              <w:pStyle w:val="0"/>
              <w:jc w:val="center"/>
            </w:pPr>
            <w:r>
              <w:rPr>
                <w:sz w:val="24"/>
              </w:rPr>
              <w:t xml:space="preserve">Информация об упаковке, вывезенной из Российской Федерации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64" w:type="dxa"/>
          </w:tcPr>
          <w:p>
            <w:pPr>
              <w:pStyle w:val="0"/>
              <w:jc w:val="center"/>
            </w:pPr>
            <w:r>
              <w:rPr>
                <w:sz w:val="24"/>
              </w:rPr>
              <w:t xml:space="preserve">масса ввезенной упаковки, всего (М</w:t>
            </w:r>
            <w:r>
              <w:rPr>
                <w:sz w:val="24"/>
                <w:vertAlign w:val="subscript"/>
              </w:rPr>
              <w:t xml:space="preserve">уп.</w:t>
            </w:r>
            <w:r>
              <w:rPr>
                <w:sz w:val="24"/>
              </w:rPr>
              <w:t xml:space="preserve">), кг </w:t>
            </w:r>
            <w:hyperlink w:history="0" w:anchor="P514" w:tooltip="&lt;26&gt; Указывается общая масса упаковки, отходы от использования которой подлежат утилизации и в которую упакован товар, ввезенный в течение отчетного года на территорию Российской Федерации из государств, не являющихся членами Евразийского экономического союза (Муп.), определяемая как сумма значений в строках граф 8 и 9.">
              <w:r>
                <w:rPr>
                  <w:sz w:val="24"/>
                  <w:color w:val="0000ff"/>
                </w:rPr>
                <w:t xml:space="preserve">&lt;26&gt;</w:t>
              </w:r>
            </w:hyperlink>
          </w:p>
        </w:tc>
        <w:tc>
          <w:tcPr>
            <w:tcW w:w="2381" w:type="dxa"/>
          </w:tcPr>
          <w:p>
            <w:pPr>
              <w:pStyle w:val="0"/>
              <w:jc w:val="center"/>
            </w:pPr>
            <w:r>
              <w:rPr>
                <w:sz w:val="24"/>
              </w:rPr>
              <w:t xml:space="preserve">масса упаковки, в которую упакован товар, ввезенный в течение отчетного года, за исключением упаковки, по которой подана информация в рамках проведения эксперимента (с 1 сентября 2024 г. по 1 сентября 2025 г.), кг </w:t>
            </w:r>
            <w:hyperlink w:history="0" w:anchor="P515" w:tooltip="&lt;27&gt; Указывается общая масса упаковки, отходы от использования которой подлежат утилизации и в которую упакован товар, ввезенный с 1 января по 31 августа 2024 г. (в случае подачи настоящей отчетности за 2024 год) и с 1 сентября по 31 декабря 2025 г. (в случае подачи настоящей отчетности за 2025 год) на территорию Российской Федерации, а также упаковки, в которую упакован товар, ввезенной в период с 1 сентября 2024 г. по 1 сентября 2025 г. и не включенной в перечень эксперимента.">
              <w:r>
                <w:rPr>
                  <w:sz w:val="24"/>
                  <w:color w:val="0000ff"/>
                </w:rPr>
                <w:t xml:space="preserve">&lt;27&gt;</w:t>
              </w:r>
            </w:hyperlink>
          </w:p>
        </w:tc>
        <w:tc>
          <w:tcPr>
            <w:tcW w:w="1644" w:type="dxa"/>
          </w:tcPr>
          <w:p>
            <w:pPr>
              <w:pStyle w:val="0"/>
              <w:jc w:val="center"/>
            </w:pPr>
            <w:r>
              <w:rPr>
                <w:sz w:val="24"/>
              </w:rPr>
              <w:t xml:space="preserve">масса упаковки, ввезенной в течение отчетного года в рамках проведения эксперимента (с 1 сентября 2024 г. по 1 сентября 2025 г.), кг </w:t>
            </w:r>
            <w:hyperlink w:history="0" w:anchor="P516" w:tooltip="&lt;28&gt; Указывается общая масса упаковки, отходы от использования которой подлежат утилизации и в которую упакован товар, включенный в перечень эксперимента, ввезенный на территорию Российской Федерации в период с 1 сентября 2024 г. по 1 сентября 2025 г., определяемая как сумма значений массы упаковки товаров, ввезенных в упаковке (без норматива утилизации), указанных в строке графы 7 таблицы 2 раздела II отчетности о массе товаров, упаковки, ввезенных из государств, не являющихся членами Евразийского эконо...">
              <w:r>
                <w:rPr>
                  <w:sz w:val="24"/>
                  <w:color w:val="0000ff"/>
                </w:rPr>
                <w:t xml:space="preserve">&lt;28&gt;</w:t>
              </w:r>
            </w:hyperlink>
          </w:p>
        </w:tc>
        <w:tc>
          <w:tcPr>
            <w:tcW w:w="850" w:type="dxa"/>
          </w:tcPr>
          <w:p>
            <w:pPr>
              <w:pStyle w:val="0"/>
              <w:jc w:val="center"/>
            </w:pPr>
            <w:r>
              <w:rPr>
                <w:sz w:val="24"/>
              </w:rPr>
              <w:t xml:space="preserve">масса упаковки (М</w:t>
            </w:r>
            <w:r>
              <w:rPr>
                <w:sz w:val="24"/>
                <w:vertAlign w:val="subscript"/>
              </w:rPr>
              <w:t xml:space="preserve">выв.уп.</w:t>
            </w:r>
            <w:r>
              <w:rPr>
                <w:sz w:val="24"/>
              </w:rPr>
              <w:t xml:space="preserve">)</w:t>
            </w:r>
            <w:r>
              <w:rPr>
                <w:sz w:val="24"/>
                <w:vertAlign w:val="subscript"/>
              </w:rPr>
              <w:t xml:space="preserve">,</w:t>
            </w:r>
            <w:r>
              <w:rPr>
                <w:sz w:val="24"/>
              </w:rPr>
              <w:t xml:space="preserve"> кг </w:t>
            </w:r>
            <w:hyperlink w:history="0" w:anchor="P517" w:tooltip="&lt;29&gt; Указывается масса упаковки, отходы от использования которой подлежат утилизации и в которую упакован товар, ввезенный в отчетном периоде на территорию Российской Федерации, и которая вывезена в отчетном периоде из Российской Федерации (Мвыв.уп.). Заполняется на основании таможенных документов и (или) на основании документов, полученных от других лиц (контрагентов) при осуществлении коммерческой деятельности, в случае, если вывоз упаковки подтвержден в порядке, установленном Правительством Российской...">
              <w:r>
                <w:rPr>
                  <w:sz w:val="24"/>
                  <w:color w:val="0000ff"/>
                </w:rPr>
                <w:t xml:space="preserve">&lt;29&gt;</w:t>
              </w:r>
            </w:hyperlink>
          </w:p>
        </w:tc>
        <w:tc>
          <w:tcPr>
            <w:tcW w:w="931" w:type="dxa"/>
          </w:tcPr>
          <w:p>
            <w:pPr>
              <w:pStyle w:val="0"/>
              <w:jc w:val="center"/>
            </w:pPr>
            <w:r>
              <w:rPr>
                <w:sz w:val="24"/>
              </w:rPr>
              <w:t xml:space="preserve">масса упаковки (М</w:t>
            </w:r>
            <w:r>
              <w:rPr>
                <w:sz w:val="24"/>
                <w:vertAlign w:val="subscript"/>
              </w:rPr>
              <w:t xml:space="preserve">пред.выв.уп.</w:t>
            </w:r>
            <w:r>
              <w:rPr>
                <w:sz w:val="24"/>
              </w:rPr>
              <w:t xml:space="preserve">), кг </w:t>
            </w:r>
            <w:hyperlink w:history="0" w:anchor="P518" w:tooltip="&lt;30&gt; Указывается масса упаковки, в отношении отходов от использования которой обязанность по утилизации наступила в предыдущие отчетные периоды, в отношении которой в предыдущие отчетные периоды был уплачен экологический сбор и которая вывезена в отчетном периоде из Российской Федерации (Мпред.выв.уп.). Заполняется на основании таможенных документов и (или) на основании документов, полученных от других лиц (контрагентов) при осуществлении коммерческой деятельности, в случае, если вывоз упаковки подтвержд...">
              <w:r>
                <w:rPr>
                  <w:sz w:val="24"/>
                  <w:color w:val="0000ff"/>
                </w:rPr>
                <w:t xml:space="preserve">&lt;30&gt;</w:t>
              </w:r>
            </w:hyperlink>
          </w:p>
        </w:tc>
        <w:tc>
          <w:tcPr>
            <w:tcW w:w="1077" w:type="dxa"/>
          </w:tcPr>
          <w:p>
            <w:pPr>
              <w:pStyle w:val="0"/>
              <w:jc w:val="center"/>
            </w:pPr>
            <w:r>
              <w:rPr>
                <w:sz w:val="24"/>
              </w:rPr>
              <w:t xml:space="preserve">сведения о лицах, осуществивших вывоз упаковки </w:t>
            </w:r>
            <w:hyperlink w:history="0" w:anchor="P519" w:tooltip="&lt;31&gt; В строке графы 12 отражается наименование юридического лица или фамилия, имя, отчество (при наличии) физического лица, являющегося индивидуальным предпринимателем, который осуществил вывоз упаковки, его идентификационный номер налогоплательщика и основной государственный регистрационный номер либо указывается &quot;самостоятельно&quot;, если вывоз осуществлялся импортером товара. Заполняется в случае, если в отчетном периоде определенная масса упаковки, сведения о которой указаны в строках граф 2 - 6, вывозил...">
              <w:r>
                <w:rPr>
                  <w:sz w:val="24"/>
                  <w:color w:val="0000ff"/>
                </w:rPr>
                <w:t xml:space="preserve">&lt;31&gt;</w:t>
              </w:r>
            </w:hyperlink>
          </w:p>
        </w:tc>
        <w:tc>
          <w:tcPr>
            <w:tcW w:w="1020" w:type="dxa"/>
          </w:tcPr>
          <w:p>
            <w:pPr>
              <w:pStyle w:val="0"/>
              <w:jc w:val="center"/>
            </w:pPr>
            <w:r>
              <w:rPr>
                <w:sz w:val="24"/>
              </w:rPr>
              <w:t xml:space="preserve">реквизиты документов, подтверждающих вывоз упаковки </w:t>
            </w:r>
            <w:hyperlink w:history="0" w:anchor="P520" w:tooltip="&lt;32&gt; В строке графы 13 отражаются реквизиты (номер, дата) документов, подтверждающих вывоз с территории Российской Федерации упаковки, в случае, если в отчетном периоде определенная масса упаковки, сведения о которой указаны в строках граф 2 - 6, вывозилась из Российской Федерации.">
              <w:r>
                <w:rPr>
                  <w:sz w:val="24"/>
                  <w:color w:val="0000ff"/>
                </w:rPr>
                <w:t xml:space="preserve">&lt;32&gt;</w:t>
              </w:r>
            </w:hyperlink>
          </w:p>
        </w:tc>
      </w:tr>
      <w:tr>
        <w:tc>
          <w:tcPr>
            <w:tcW w:w="510" w:type="dxa"/>
          </w:tcPr>
          <w:p>
            <w:pPr>
              <w:pStyle w:val="0"/>
              <w:jc w:val="center"/>
            </w:pPr>
            <w:r>
              <w:rPr>
                <w:sz w:val="24"/>
              </w:rPr>
              <w:t xml:space="preserve">1</w:t>
            </w:r>
          </w:p>
        </w:tc>
        <w:tc>
          <w:tcPr>
            <w:tcW w:w="931" w:type="dxa"/>
          </w:tcPr>
          <w:bookmarkStart w:id="388" w:name="P388"/>
          <w:bookmarkEnd w:id="388"/>
          <w:p>
            <w:pPr>
              <w:pStyle w:val="0"/>
              <w:jc w:val="center"/>
            </w:pPr>
            <w:r>
              <w:rPr>
                <w:sz w:val="24"/>
              </w:rPr>
              <w:t xml:space="preserve">2</w:t>
            </w:r>
          </w:p>
        </w:tc>
        <w:tc>
          <w:tcPr>
            <w:tcW w:w="1417" w:type="dxa"/>
          </w:tcPr>
          <w:bookmarkStart w:id="389" w:name="P389"/>
          <w:bookmarkEnd w:id="389"/>
          <w:p>
            <w:pPr>
              <w:pStyle w:val="0"/>
              <w:jc w:val="center"/>
            </w:pPr>
            <w:r>
              <w:rPr>
                <w:sz w:val="24"/>
              </w:rPr>
              <w:t xml:space="preserve">3</w:t>
            </w:r>
          </w:p>
        </w:tc>
        <w:tc>
          <w:tcPr>
            <w:tcW w:w="1417" w:type="dxa"/>
          </w:tcPr>
          <w:p>
            <w:pPr>
              <w:pStyle w:val="0"/>
              <w:jc w:val="center"/>
            </w:pPr>
            <w:r>
              <w:rPr>
                <w:sz w:val="24"/>
              </w:rPr>
              <w:t xml:space="preserve">4</w:t>
            </w:r>
          </w:p>
        </w:tc>
        <w:tc>
          <w:tcPr>
            <w:tcW w:w="1360" w:type="dxa"/>
          </w:tcPr>
          <w:p>
            <w:pPr>
              <w:pStyle w:val="0"/>
              <w:jc w:val="center"/>
            </w:pPr>
            <w:r>
              <w:rPr>
                <w:sz w:val="24"/>
              </w:rPr>
              <w:t xml:space="preserve">5</w:t>
            </w:r>
          </w:p>
        </w:tc>
        <w:tc>
          <w:tcPr>
            <w:tcW w:w="1417" w:type="dxa"/>
          </w:tcPr>
          <w:bookmarkStart w:id="392" w:name="P392"/>
          <w:bookmarkEnd w:id="392"/>
          <w:p>
            <w:pPr>
              <w:pStyle w:val="0"/>
              <w:jc w:val="center"/>
            </w:pPr>
            <w:r>
              <w:rPr>
                <w:sz w:val="24"/>
              </w:rPr>
              <w:t xml:space="preserve">6</w:t>
            </w:r>
          </w:p>
        </w:tc>
        <w:tc>
          <w:tcPr>
            <w:tcW w:w="964" w:type="dxa"/>
          </w:tcPr>
          <w:bookmarkStart w:id="393" w:name="P393"/>
          <w:bookmarkEnd w:id="393"/>
          <w:p>
            <w:pPr>
              <w:pStyle w:val="0"/>
              <w:jc w:val="center"/>
            </w:pPr>
            <w:r>
              <w:rPr>
                <w:sz w:val="24"/>
              </w:rPr>
              <w:t xml:space="preserve">7</w:t>
            </w:r>
          </w:p>
        </w:tc>
        <w:tc>
          <w:tcPr>
            <w:tcW w:w="2381" w:type="dxa"/>
          </w:tcPr>
          <w:bookmarkStart w:id="394" w:name="P394"/>
          <w:bookmarkEnd w:id="394"/>
          <w:p>
            <w:pPr>
              <w:pStyle w:val="0"/>
              <w:jc w:val="center"/>
            </w:pPr>
            <w:r>
              <w:rPr>
                <w:sz w:val="24"/>
              </w:rPr>
              <w:t xml:space="preserve">8</w:t>
            </w:r>
          </w:p>
        </w:tc>
        <w:tc>
          <w:tcPr>
            <w:tcW w:w="1644" w:type="dxa"/>
          </w:tcPr>
          <w:bookmarkStart w:id="395" w:name="P395"/>
          <w:bookmarkEnd w:id="395"/>
          <w:p>
            <w:pPr>
              <w:pStyle w:val="0"/>
              <w:jc w:val="center"/>
            </w:pPr>
            <w:r>
              <w:rPr>
                <w:sz w:val="24"/>
              </w:rPr>
              <w:t xml:space="preserve">9</w:t>
            </w:r>
          </w:p>
        </w:tc>
        <w:tc>
          <w:tcPr>
            <w:tcW w:w="850" w:type="dxa"/>
          </w:tcPr>
          <w:bookmarkStart w:id="396" w:name="P396"/>
          <w:bookmarkEnd w:id="396"/>
          <w:p>
            <w:pPr>
              <w:pStyle w:val="0"/>
              <w:jc w:val="center"/>
            </w:pPr>
            <w:r>
              <w:rPr>
                <w:sz w:val="24"/>
              </w:rPr>
              <w:t xml:space="preserve">10</w:t>
            </w:r>
          </w:p>
        </w:tc>
        <w:tc>
          <w:tcPr>
            <w:tcW w:w="931" w:type="dxa"/>
          </w:tcPr>
          <w:bookmarkStart w:id="397" w:name="P397"/>
          <w:bookmarkEnd w:id="397"/>
          <w:p>
            <w:pPr>
              <w:pStyle w:val="0"/>
              <w:jc w:val="center"/>
            </w:pPr>
            <w:r>
              <w:rPr>
                <w:sz w:val="24"/>
              </w:rPr>
              <w:t xml:space="preserve">11</w:t>
            </w:r>
          </w:p>
        </w:tc>
        <w:tc>
          <w:tcPr>
            <w:tcW w:w="1077" w:type="dxa"/>
          </w:tcPr>
          <w:bookmarkStart w:id="398" w:name="P398"/>
          <w:bookmarkEnd w:id="398"/>
          <w:p>
            <w:pPr>
              <w:pStyle w:val="0"/>
              <w:jc w:val="center"/>
            </w:pPr>
            <w:r>
              <w:rPr>
                <w:sz w:val="24"/>
              </w:rPr>
              <w:t xml:space="preserve">12</w:t>
            </w:r>
          </w:p>
        </w:tc>
        <w:tc>
          <w:tcPr>
            <w:tcW w:w="1020" w:type="dxa"/>
          </w:tcPr>
          <w:bookmarkStart w:id="399" w:name="P399"/>
          <w:bookmarkEnd w:id="399"/>
          <w:p>
            <w:pPr>
              <w:pStyle w:val="0"/>
              <w:jc w:val="center"/>
            </w:pPr>
            <w:r>
              <w:rPr>
                <w:sz w:val="24"/>
              </w:rPr>
              <w:t xml:space="preserve">13</w:t>
            </w:r>
          </w:p>
        </w:tc>
      </w:tr>
      <w:tr>
        <w:tc>
          <w:tcPr>
            <w:tcW w:w="510" w:type="dxa"/>
          </w:tcPr>
          <w:p>
            <w:pPr>
              <w:pStyle w:val="0"/>
            </w:pPr>
            <w:r>
              <w:rPr>
                <w:sz w:val="24"/>
              </w:rPr>
            </w:r>
          </w:p>
        </w:tc>
        <w:tc>
          <w:tcPr>
            <w:gridSpan w:val="12"/>
            <w:tcW w:w="15409" w:type="dxa"/>
          </w:tcPr>
          <w:p>
            <w:pPr>
              <w:pStyle w:val="0"/>
              <w:jc w:val="center"/>
            </w:pPr>
            <w:r>
              <w:rPr>
                <w:sz w:val="24"/>
              </w:rPr>
              <w:t xml:space="preserve">группа N ...</w:t>
            </w:r>
          </w:p>
        </w:tc>
      </w:tr>
      <w:tr>
        <w:tc>
          <w:tcPr>
            <w:tcW w:w="510" w:type="dxa"/>
          </w:tcPr>
          <w:p>
            <w:pPr>
              <w:pStyle w:val="0"/>
            </w:pPr>
            <w:r>
              <w:rPr>
                <w:sz w:val="24"/>
              </w:rPr>
            </w:r>
          </w:p>
        </w:tc>
        <w:tc>
          <w:tcPr>
            <w:tcW w:w="931" w:type="dxa"/>
          </w:tcPr>
          <w:p>
            <w:pPr>
              <w:pStyle w:val="0"/>
              <w:jc w:val="center"/>
            </w:pPr>
            <w:r>
              <w:rPr>
                <w:sz w:val="24"/>
              </w:rPr>
              <w:t xml:space="preserve">...</w:t>
            </w:r>
          </w:p>
        </w:tc>
        <w:tc>
          <w:tcPr>
            <w:tcW w:w="1417" w:type="dxa"/>
          </w:tcPr>
          <w:p>
            <w:pPr>
              <w:pStyle w:val="0"/>
            </w:pPr>
            <w:r>
              <w:rPr>
                <w:sz w:val="24"/>
              </w:rPr>
            </w:r>
          </w:p>
        </w:tc>
        <w:tc>
          <w:tcPr>
            <w:tcW w:w="1417" w:type="dxa"/>
          </w:tcPr>
          <w:p>
            <w:pPr>
              <w:pStyle w:val="0"/>
            </w:pPr>
            <w:r>
              <w:rPr>
                <w:sz w:val="24"/>
              </w:rPr>
            </w:r>
          </w:p>
        </w:tc>
        <w:tc>
          <w:tcPr>
            <w:tcW w:w="1360" w:type="dxa"/>
          </w:tcPr>
          <w:p>
            <w:pPr>
              <w:pStyle w:val="0"/>
            </w:pPr>
            <w:r>
              <w:rPr>
                <w:sz w:val="24"/>
              </w:rPr>
            </w:r>
          </w:p>
        </w:tc>
        <w:tc>
          <w:tcPr>
            <w:tcW w:w="1417" w:type="dxa"/>
          </w:tcPr>
          <w:p>
            <w:pPr>
              <w:pStyle w:val="0"/>
            </w:pPr>
            <w:r>
              <w:rPr>
                <w:sz w:val="24"/>
              </w:rPr>
            </w:r>
          </w:p>
        </w:tc>
        <w:tc>
          <w:tcPr>
            <w:tcW w:w="964" w:type="dxa"/>
          </w:tcPr>
          <w:p>
            <w:pPr>
              <w:pStyle w:val="0"/>
            </w:pPr>
            <w:r>
              <w:rPr>
                <w:sz w:val="24"/>
              </w:rPr>
            </w:r>
          </w:p>
        </w:tc>
        <w:tc>
          <w:tcPr>
            <w:tcW w:w="2381" w:type="dxa"/>
          </w:tcPr>
          <w:p>
            <w:pPr>
              <w:pStyle w:val="0"/>
            </w:pPr>
            <w:r>
              <w:rPr>
                <w:sz w:val="24"/>
              </w:rPr>
            </w:r>
          </w:p>
        </w:tc>
        <w:tc>
          <w:tcPr>
            <w:tcW w:w="1644" w:type="dxa"/>
          </w:tcPr>
          <w:p>
            <w:pPr>
              <w:pStyle w:val="0"/>
            </w:pPr>
            <w:r>
              <w:rPr>
                <w:sz w:val="24"/>
              </w:rPr>
            </w:r>
          </w:p>
        </w:tc>
        <w:tc>
          <w:tcPr>
            <w:tcW w:w="850" w:type="dxa"/>
          </w:tcPr>
          <w:p>
            <w:pPr>
              <w:pStyle w:val="0"/>
            </w:pPr>
            <w:r>
              <w:rPr>
                <w:sz w:val="24"/>
              </w:rPr>
            </w:r>
          </w:p>
        </w:tc>
        <w:tc>
          <w:tcPr>
            <w:tcW w:w="931" w:type="dxa"/>
          </w:tcPr>
          <w:p>
            <w:pPr>
              <w:pStyle w:val="0"/>
            </w:pPr>
            <w:r>
              <w:rPr>
                <w:sz w:val="24"/>
              </w:rPr>
            </w:r>
          </w:p>
        </w:tc>
        <w:tc>
          <w:tcPr>
            <w:tcW w:w="1077" w:type="dxa"/>
          </w:tcPr>
          <w:p>
            <w:pPr>
              <w:pStyle w:val="0"/>
            </w:pPr>
            <w:r>
              <w:rPr>
                <w:sz w:val="24"/>
              </w:rPr>
            </w:r>
          </w:p>
        </w:tc>
        <w:tc>
          <w:tcPr>
            <w:tcW w:w="1020" w:type="dxa"/>
          </w:tcPr>
          <w:p>
            <w:pPr>
              <w:pStyle w:val="0"/>
            </w:pPr>
            <w:r>
              <w:rPr>
                <w:sz w:val="24"/>
              </w:rPr>
            </w:r>
          </w:p>
        </w:tc>
      </w:tr>
      <w:tr>
        <w:tc>
          <w:tcPr>
            <w:tcW w:w="510" w:type="dxa"/>
          </w:tcPr>
          <w:p>
            <w:pPr>
              <w:pStyle w:val="0"/>
            </w:pPr>
            <w:r>
              <w:rPr>
                <w:sz w:val="24"/>
              </w:rPr>
            </w:r>
          </w:p>
        </w:tc>
        <w:tc>
          <w:tcPr>
            <w:tcW w:w="93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360" w:type="dxa"/>
          </w:tcPr>
          <w:p>
            <w:pPr>
              <w:pStyle w:val="0"/>
            </w:pPr>
            <w:r>
              <w:rPr>
                <w:sz w:val="24"/>
              </w:rPr>
            </w:r>
          </w:p>
        </w:tc>
        <w:tc>
          <w:tcPr>
            <w:tcW w:w="1417" w:type="dxa"/>
          </w:tcPr>
          <w:p>
            <w:pPr>
              <w:pStyle w:val="0"/>
            </w:pPr>
            <w:r>
              <w:rPr>
                <w:sz w:val="24"/>
              </w:rPr>
            </w:r>
          </w:p>
        </w:tc>
        <w:tc>
          <w:tcPr>
            <w:tcW w:w="964" w:type="dxa"/>
          </w:tcPr>
          <w:p>
            <w:pPr>
              <w:pStyle w:val="0"/>
            </w:pPr>
            <w:r>
              <w:rPr>
                <w:sz w:val="24"/>
              </w:rPr>
            </w:r>
          </w:p>
        </w:tc>
        <w:tc>
          <w:tcPr>
            <w:tcW w:w="2381" w:type="dxa"/>
          </w:tcPr>
          <w:p>
            <w:pPr>
              <w:pStyle w:val="0"/>
            </w:pPr>
            <w:r>
              <w:rPr>
                <w:sz w:val="24"/>
              </w:rPr>
            </w:r>
          </w:p>
        </w:tc>
        <w:tc>
          <w:tcPr>
            <w:tcW w:w="1644" w:type="dxa"/>
          </w:tcPr>
          <w:p>
            <w:pPr>
              <w:pStyle w:val="0"/>
            </w:pPr>
            <w:r>
              <w:rPr>
                <w:sz w:val="24"/>
              </w:rPr>
            </w:r>
          </w:p>
        </w:tc>
        <w:tc>
          <w:tcPr>
            <w:tcW w:w="850" w:type="dxa"/>
          </w:tcPr>
          <w:p>
            <w:pPr>
              <w:pStyle w:val="0"/>
            </w:pPr>
            <w:r>
              <w:rPr>
                <w:sz w:val="24"/>
              </w:rPr>
            </w:r>
          </w:p>
        </w:tc>
        <w:tc>
          <w:tcPr>
            <w:tcW w:w="931" w:type="dxa"/>
          </w:tcPr>
          <w:p>
            <w:pPr>
              <w:pStyle w:val="0"/>
            </w:pPr>
            <w:r>
              <w:rPr>
                <w:sz w:val="24"/>
              </w:rPr>
            </w:r>
          </w:p>
        </w:tc>
        <w:tc>
          <w:tcPr>
            <w:tcW w:w="1077" w:type="dxa"/>
          </w:tcPr>
          <w:p>
            <w:pPr>
              <w:pStyle w:val="0"/>
            </w:pPr>
            <w:r>
              <w:rPr>
                <w:sz w:val="24"/>
              </w:rPr>
            </w:r>
          </w:p>
        </w:tc>
        <w:tc>
          <w:tcPr>
            <w:tcW w:w="1020" w:type="dxa"/>
          </w:tcPr>
          <w:p>
            <w:pPr>
              <w:pStyle w:val="0"/>
            </w:pPr>
            <w:r>
              <w:rPr>
                <w:sz w:val="24"/>
              </w:rPr>
            </w:r>
          </w:p>
        </w:tc>
      </w:tr>
    </w:tbl>
    <w:p>
      <w:pPr>
        <w:sectPr>
          <w:headerReference w:type="default" r:id="rId8"/>
          <w:headerReference w:type="first" r:id="rId8"/>
          <w:footerReference w:type="default" r:id="rId9"/>
          <w:footerReference w:type="first" r:id="rId9"/>
          <w:pgSz w:w="16838" w:h="11906" w:orient="landscape"/>
          <w:pgMar w:top="1133" w:right="397" w:bottom="566" w:left="397"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right"/>
            </w:pPr>
            <w:r>
              <w:rPr>
                <w:sz w:val="24"/>
              </w:rPr>
              <w:t xml:space="preserve">(продолжение таблицы 2)</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32"/>
        <w:gridCol w:w="794"/>
        <w:gridCol w:w="1474"/>
        <w:gridCol w:w="1474"/>
        <w:gridCol w:w="850"/>
        <w:gridCol w:w="1474"/>
        <w:gridCol w:w="737"/>
      </w:tblGrid>
      <w:tr>
        <w:tc>
          <w:tcPr>
            <w:tcW w:w="2232" w:type="dxa"/>
          </w:tcPr>
          <w:p>
            <w:pPr>
              <w:pStyle w:val="0"/>
              <w:jc w:val="center"/>
            </w:pPr>
            <w:r>
              <w:rPr>
                <w:sz w:val="24"/>
              </w:rPr>
              <w:t xml:space="preserve">Масса упаковки, в отношении которой возникает обязанность обеспечивать утилизацию отходов от использования товаров (без учета норматива утилизации), всего (М</w:t>
            </w:r>
            <w:r>
              <w:rPr>
                <w:sz w:val="24"/>
                <w:vertAlign w:val="subscript"/>
              </w:rPr>
              <w:t xml:space="preserve">обяз.уп.</w:t>
            </w:r>
            <w:r>
              <w:rPr>
                <w:sz w:val="24"/>
              </w:rPr>
              <w:t xml:space="preserve">), кг </w:t>
            </w:r>
            <w:hyperlink w:history="0" w:anchor="P521" w:tooltip="&lt;33&gt; Указывается масса упаковки товаров, в отношении отходов от использования которой возникает обязанность обеспечить утилизацию (без учета норматива утилизации) (Мобяз.уп.), определяется как разница между значениями Муп. (графа 7) и Мвыв.уп. (графа 10). Строка графы 14 заполняется автоматически при использовании интерактивных форм отчетности. При расчете данного показателя не учитывается значение Мпред.выв.уп. (графа 11).">
              <w:r>
                <w:rPr>
                  <w:sz w:val="24"/>
                  <w:color w:val="0000ff"/>
                </w:rPr>
                <w:t xml:space="preserve">&lt;33&gt;</w:t>
              </w:r>
            </w:hyperlink>
          </w:p>
        </w:tc>
        <w:tc>
          <w:tcPr>
            <w:tcW w:w="794" w:type="dxa"/>
          </w:tcPr>
          <w:p>
            <w:pPr>
              <w:pStyle w:val="0"/>
              <w:jc w:val="center"/>
            </w:pPr>
            <w:r>
              <w:rPr>
                <w:sz w:val="24"/>
              </w:rPr>
              <w:t xml:space="preserve">Норматив утилизации (N), процентов </w:t>
            </w:r>
            <w:hyperlink w:history="0" w:anchor="P506" w:tooltip="&lt;18&gt; Указывается норматив утилизации отходов от использования товара, упаковки, установленный Правительством Российской Федерации в соответствии с пунктом 2 статьи 24.2 Федерального закона &quot;Об отходах производства и потребления&quot;, и (или) процент массы упаковки, отходы от использования которой подлежат утилизации в размере, установленном частью 5 статьи 7 Федерального закона от 4 августа 2023 г. N 451-ФЗ &quot;О внесении изменений в Федеральный закон &quot;Об отходах производства и потребления&quot; и отдельные законода...">
              <w:r>
                <w:rPr>
                  <w:sz w:val="24"/>
                  <w:color w:val="0000ff"/>
                </w:rPr>
                <w:t xml:space="preserve">&lt;18&gt;</w:t>
              </w:r>
            </w:hyperlink>
          </w:p>
        </w:tc>
        <w:tc>
          <w:tcPr>
            <w:tcW w:w="1474" w:type="dxa"/>
          </w:tcPr>
          <w:p>
            <w:pPr>
              <w:pStyle w:val="0"/>
              <w:jc w:val="center"/>
            </w:pPr>
            <w:r>
              <w:rPr>
                <w:sz w:val="24"/>
              </w:rPr>
              <w:t xml:space="preserve">Масса отходов от использования упаковки, подлежащих утилизации (с учетом норматива утилизации) (М</w:t>
            </w:r>
            <w:r>
              <w:rPr>
                <w:sz w:val="24"/>
                <w:vertAlign w:val="subscript"/>
              </w:rPr>
              <w:t xml:space="preserve">подл.ут.уп.</w:t>
            </w:r>
            <w:r>
              <w:rPr>
                <w:sz w:val="24"/>
              </w:rPr>
              <w:t xml:space="preserve">), кг </w:t>
            </w:r>
            <w:hyperlink w:history="0" w:anchor="P522" w:tooltip="&lt;34&gt; Указывается масса отходов от использования упаковки, подлежащей утилизации в отчетном периоде, с учетом норматива утилизации (Мподл.ут.уп.), определяемая как произведение значений Мобяз.уп. (графа 14) и N (графа 15), деленное на 100. Строка графы 16 заполняется автоматически при использовании интерактивных форм отчетности.">
              <w:r>
                <w:rPr>
                  <w:sz w:val="24"/>
                  <w:color w:val="0000ff"/>
                </w:rPr>
                <w:t xml:space="preserve">&lt;34&gt;</w:t>
              </w:r>
            </w:hyperlink>
          </w:p>
        </w:tc>
        <w:tc>
          <w:tcPr>
            <w:tcW w:w="1474" w:type="dxa"/>
          </w:tcPr>
          <w:p>
            <w:pPr>
              <w:pStyle w:val="0"/>
              <w:jc w:val="center"/>
            </w:pPr>
            <w:r>
              <w:rPr>
                <w:sz w:val="24"/>
              </w:rPr>
              <w:t xml:space="preserve">Масса отходов от использования упаковки, в отношении которой уплачен экологический сбор (М</w:t>
            </w:r>
            <w:r>
              <w:rPr>
                <w:sz w:val="24"/>
                <w:vertAlign w:val="subscript"/>
              </w:rPr>
              <w:t xml:space="preserve">упл.эс.уп.</w:t>
            </w:r>
            <w:r>
              <w:rPr>
                <w:sz w:val="24"/>
              </w:rPr>
              <w:t xml:space="preserve">) </w:t>
            </w:r>
            <w:hyperlink w:history="0" w:anchor="P523" w:tooltip="&lt;35&gt; Указывается масса отходов от использования упаковки, в отношении которой в период с 1 сентября 2024 г. по 1 сентября 2025 г. в отчетном году уплачен экологический сбор в соответствии с пунктом 10 статьи 24.2-1 Федерального закона &quot;Об отходах производства и потребления&quot; (Мупл.эс.уп.).">
              <w:r>
                <w:rPr>
                  <w:sz w:val="24"/>
                  <w:color w:val="0000ff"/>
                </w:rPr>
                <w:t xml:space="preserve">&lt;35&gt;</w:t>
              </w:r>
            </w:hyperlink>
          </w:p>
        </w:tc>
        <w:tc>
          <w:tcPr>
            <w:tcW w:w="850" w:type="dxa"/>
          </w:tcPr>
          <w:p>
            <w:pPr>
              <w:pStyle w:val="0"/>
              <w:jc w:val="center"/>
            </w:pPr>
            <w:r>
              <w:rPr>
                <w:sz w:val="24"/>
              </w:rPr>
              <w:t xml:space="preserve">Реквизиты документов об уплате экологического сбора </w:t>
            </w:r>
            <w:hyperlink w:history="0" w:anchor="P524" w:tooltip="&lt;36&gt; Указываются реквизиты документа (номер, дата) об уплате экологического сбора, уплаченного в качестве обеспечения утилизации отходов от использования упаковки, сведения о которой указаны в строках граф 2 - 6, в период с 1 сентября 2024 г. по 1 сентября 2025 г. в отчетном году в соответствии с пунктом 10 статьи 24.2-1 Федерального закона &quot;Об отходах производства и потребления&quot;.">
              <w:r>
                <w:rPr>
                  <w:sz w:val="24"/>
                  <w:color w:val="0000ff"/>
                </w:rPr>
                <w:t xml:space="preserve">&lt;36&gt;</w:t>
              </w:r>
            </w:hyperlink>
          </w:p>
        </w:tc>
        <w:tc>
          <w:tcPr>
            <w:tcW w:w="1474" w:type="dxa"/>
          </w:tcPr>
          <w:p>
            <w:pPr>
              <w:pStyle w:val="0"/>
              <w:jc w:val="center"/>
            </w:pPr>
            <w:r>
              <w:rPr>
                <w:sz w:val="24"/>
              </w:rPr>
              <w:t xml:space="preserve">Масса отходов от использования упаковки, в отношении которых сохраняется обязанность обеспечить утилизацию, кг </w:t>
            </w:r>
            <w:hyperlink w:history="0" w:anchor="P525" w:tooltip="&lt;37&gt; Указывается масса отходов от использования упаковки, в отношении которой сохраняется обязанность обеспечить утилизацию, определяется как разница значений Мподл.ут.уп. (графа 16) и Мупл.эс.уп. (графа 17). Строка графы 19 заполняется автоматически при использовании интерактивных форм отчетности.">
              <w:r>
                <w:rPr>
                  <w:sz w:val="24"/>
                  <w:color w:val="0000ff"/>
                </w:rPr>
                <w:t xml:space="preserve">&lt;37&gt;</w:t>
              </w:r>
            </w:hyperlink>
          </w:p>
        </w:tc>
        <w:tc>
          <w:tcPr>
            <w:tcW w:w="737" w:type="dxa"/>
          </w:tcPr>
          <w:p>
            <w:pPr>
              <w:pStyle w:val="0"/>
              <w:jc w:val="center"/>
            </w:pPr>
            <w:r>
              <w:rPr>
                <w:sz w:val="24"/>
              </w:rPr>
              <w:t xml:space="preserve">Примечание </w:t>
            </w:r>
            <w:hyperlink w:history="0" w:anchor="P511" w:tooltip="&lt;23&gt; Строка графы 25 таблицы 1 и строка графы 20 таблицы 2 заполняются при необходимости (на усмотрение импортера товара в случае необходимости представления разъяснений, дополнений и т.п.).">
              <w:r>
                <w:rPr>
                  <w:sz w:val="24"/>
                  <w:color w:val="0000ff"/>
                </w:rPr>
                <w:t xml:space="preserve">&lt;23&gt;</w:t>
              </w:r>
            </w:hyperlink>
          </w:p>
        </w:tc>
      </w:tr>
      <w:tr>
        <w:tc>
          <w:tcPr>
            <w:tcW w:w="2232" w:type="dxa"/>
          </w:tcPr>
          <w:bookmarkStart w:id="438" w:name="P438"/>
          <w:bookmarkEnd w:id="438"/>
          <w:p>
            <w:pPr>
              <w:pStyle w:val="0"/>
              <w:jc w:val="center"/>
            </w:pPr>
            <w:r>
              <w:rPr>
                <w:sz w:val="24"/>
              </w:rPr>
              <w:t xml:space="preserve">14</w:t>
            </w:r>
          </w:p>
        </w:tc>
        <w:tc>
          <w:tcPr>
            <w:tcW w:w="794" w:type="dxa"/>
          </w:tcPr>
          <w:bookmarkStart w:id="439" w:name="P439"/>
          <w:bookmarkEnd w:id="439"/>
          <w:p>
            <w:pPr>
              <w:pStyle w:val="0"/>
              <w:jc w:val="center"/>
            </w:pPr>
            <w:r>
              <w:rPr>
                <w:sz w:val="24"/>
              </w:rPr>
              <w:t xml:space="preserve">15</w:t>
            </w:r>
          </w:p>
        </w:tc>
        <w:tc>
          <w:tcPr>
            <w:tcW w:w="1474" w:type="dxa"/>
          </w:tcPr>
          <w:bookmarkStart w:id="440" w:name="P440"/>
          <w:bookmarkEnd w:id="440"/>
          <w:p>
            <w:pPr>
              <w:pStyle w:val="0"/>
              <w:jc w:val="center"/>
            </w:pPr>
            <w:r>
              <w:rPr>
                <w:sz w:val="24"/>
              </w:rPr>
              <w:t xml:space="preserve">16</w:t>
            </w:r>
          </w:p>
        </w:tc>
        <w:tc>
          <w:tcPr>
            <w:tcW w:w="1474" w:type="dxa"/>
          </w:tcPr>
          <w:bookmarkStart w:id="441" w:name="P441"/>
          <w:bookmarkEnd w:id="441"/>
          <w:p>
            <w:pPr>
              <w:pStyle w:val="0"/>
              <w:jc w:val="center"/>
            </w:pPr>
            <w:r>
              <w:rPr>
                <w:sz w:val="24"/>
              </w:rPr>
              <w:t xml:space="preserve">17</w:t>
            </w:r>
          </w:p>
        </w:tc>
        <w:tc>
          <w:tcPr>
            <w:tcW w:w="850" w:type="dxa"/>
          </w:tcPr>
          <w:p>
            <w:pPr>
              <w:pStyle w:val="0"/>
              <w:jc w:val="center"/>
            </w:pPr>
            <w:r>
              <w:rPr>
                <w:sz w:val="24"/>
              </w:rPr>
              <w:t xml:space="preserve">18</w:t>
            </w:r>
          </w:p>
        </w:tc>
        <w:tc>
          <w:tcPr>
            <w:tcW w:w="1474" w:type="dxa"/>
          </w:tcPr>
          <w:bookmarkStart w:id="443" w:name="P443"/>
          <w:bookmarkEnd w:id="443"/>
          <w:p>
            <w:pPr>
              <w:pStyle w:val="0"/>
              <w:jc w:val="center"/>
            </w:pPr>
            <w:r>
              <w:rPr>
                <w:sz w:val="24"/>
              </w:rPr>
              <w:t xml:space="preserve">19</w:t>
            </w:r>
          </w:p>
        </w:tc>
        <w:tc>
          <w:tcPr>
            <w:tcW w:w="737" w:type="dxa"/>
          </w:tcPr>
          <w:bookmarkStart w:id="444" w:name="P444"/>
          <w:bookmarkEnd w:id="444"/>
          <w:p>
            <w:pPr>
              <w:pStyle w:val="0"/>
              <w:jc w:val="center"/>
            </w:pPr>
            <w:r>
              <w:rPr>
                <w:sz w:val="24"/>
              </w:rPr>
              <w:t xml:space="preserve">20</w:t>
            </w:r>
          </w:p>
        </w:tc>
      </w:tr>
      <w:tr>
        <w:tc>
          <w:tcPr>
            <w:tcW w:w="2232" w:type="dxa"/>
          </w:tcPr>
          <w:p>
            <w:pPr>
              <w:pStyle w:val="0"/>
            </w:pPr>
            <w:r>
              <w:rPr>
                <w:sz w:val="24"/>
              </w:rPr>
            </w:r>
          </w:p>
        </w:tc>
        <w:tc>
          <w:tcPr>
            <w:tcW w:w="794" w:type="dxa"/>
          </w:tcPr>
          <w:p>
            <w:pPr>
              <w:pStyle w:val="0"/>
            </w:pPr>
            <w:r>
              <w:rPr>
                <w:sz w:val="24"/>
              </w:rPr>
            </w:r>
          </w:p>
        </w:tc>
        <w:tc>
          <w:tcPr>
            <w:tcW w:w="1474" w:type="dxa"/>
          </w:tcPr>
          <w:p>
            <w:pPr>
              <w:pStyle w:val="0"/>
            </w:pPr>
            <w:r>
              <w:rPr>
                <w:sz w:val="24"/>
              </w:rPr>
            </w:r>
          </w:p>
        </w:tc>
        <w:tc>
          <w:tcPr>
            <w:tcW w:w="1474" w:type="dxa"/>
          </w:tcPr>
          <w:p>
            <w:pPr>
              <w:pStyle w:val="0"/>
            </w:pPr>
            <w:r>
              <w:rPr>
                <w:sz w:val="24"/>
              </w:rPr>
            </w:r>
          </w:p>
        </w:tc>
        <w:tc>
          <w:tcPr>
            <w:tcW w:w="850" w:type="dxa"/>
          </w:tcPr>
          <w:p>
            <w:pPr>
              <w:pStyle w:val="0"/>
            </w:pPr>
            <w:r>
              <w:rPr>
                <w:sz w:val="24"/>
              </w:rPr>
            </w:r>
          </w:p>
        </w:tc>
        <w:tc>
          <w:tcPr>
            <w:tcW w:w="1474" w:type="dxa"/>
          </w:tcPr>
          <w:p>
            <w:pPr>
              <w:pStyle w:val="0"/>
            </w:pPr>
            <w:r>
              <w:rPr>
                <w:sz w:val="24"/>
              </w:rPr>
            </w:r>
          </w:p>
        </w:tc>
        <w:tc>
          <w:tcPr>
            <w:tcW w:w="737" w:type="dxa"/>
          </w:tcPr>
          <w:p>
            <w:pPr>
              <w:pStyle w:val="0"/>
            </w:pPr>
            <w:r>
              <w:rPr>
                <w:sz w:val="24"/>
              </w:rPr>
            </w:r>
          </w:p>
        </w:tc>
      </w:tr>
      <w:tr>
        <w:tc>
          <w:tcPr>
            <w:tcW w:w="2232" w:type="dxa"/>
          </w:tcPr>
          <w:p>
            <w:pPr>
              <w:pStyle w:val="0"/>
            </w:pPr>
            <w:r>
              <w:rPr>
                <w:sz w:val="24"/>
              </w:rPr>
            </w:r>
          </w:p>
        </w:tc>
        <w:tc>
          <w:tcPr>
            <w:tcW w:w="794" w:type="dxa"/>
          </w:tcPr>
          <w:p>
            <w:pPr>
              <w:pStyle w:val="0"/>
            </w:pPr>
            <w:r>
              <w:rPr>
                <w:sz w:val="24"/>
              </w:rPr>
            </w:r>
          </w:p>
        </w:tc>
        <w:tc>
          <w:tcPr>
            <w:tcW w:w="1474" w:type="dxa"/>
          </w:tcPr>
          <w:p>
            <w:pPr>
              <w:pStyle w:val="0"/>
            </w:pPr>
            <w:r>
              <w:rPr>
                <w:sz w:val="24"/>
              </w:rPr>
            </w:r>
          </w:p>
        </w:tc>
        <w:tc>
          <w:tcPr>
            <w:tcW w:w="1474" w:type="dxa"/>
          </w:tcPr>
          <w:p>
            <w:pPr>
              <w:pStyle w:val="0"/>
            </w:pPr>
            <w:r>
              <w:rPr>
                <w:sz w:val="24"/>
              </w:rPr>
            </w:r>
          </w:p>
        </w:tc>
        <w:tc>
          <w:tcPr>
            <w:tcW w:w="850" w:type="dxa"/>
          </w:tcPr>
          <w:p>
            <w:pPr>
              <w:pStyle w:val="0"/>
            </w:pPr>
            <w:r>
              <w:rPr>
                <w:sz w:val="24"/>
              </w:rPr>
            </w:r>
          </w:p>
        </w:tc>
        <w:tc>
          <w:tcPr>
            <w:tcW w:w="1474" w:type="dxa"/>
          </w:tcPr>
          <w:p>
            <w:pPr>
              <w:pStyle w:val="0"/>
            </w:pPr>
            <w:r>
              <w:rPr>
                <w:sz w:val="24"/>
              </w:rPr>
            </w:r>
          </w:p>
        </w:tc>
        <w:tc>
          <w:tcPr>
            <w:tcW w:w="737" w:type="dxa"/>
          </w:tcPr>
          <w:p>
            <w:pPr>
              <w:pStyle w:val="0"/>
            </w:pPr>
            <w:r>
              <w:rPr>
                <w:sz w:val="24"/>
              </w:rPr>
            </w:r>
          </w:p>
        </w:tc>
      </w:tr>
      <w:tr>
        <w:tc>
          <w:tcPr>
            <w:tcW w:w="2232" w:type="dxa"/>
          </w:tcPr>
          <w:p>
            <w:pPr>
              <w:pStyle w:val="0"/>
            </w:pPr>
            <w:r>
              <w:rPr>
                <w:sz w:val="24"/>
              </w:rPr>
            </w:r>
          </w:p>
        </w:tc>
        <w:tc>
          <w:tcPr>
            <w:tcW w:w="794" w:type="dxa"/>
          </w:tcPr>
          <w:p>
            <w:pPr>
              <w:pStyle w:val="0"/>
            </w:pPr>
            <w:r>
              <w:rPr>
                <w:sz w:val="24"/>
              </w:rPr>
            </w:r>
          </w:p>
        </w:tc>
        <w:tc>
          <w:tcPr>
            <w:tcW w:w="1474" w:type="dxa"/>
          </w:tcPr>
          <w:p>
            <w:pPr>
              <w:pStyle w:val="0"/>
            </w:pPr>
            <w:r>
              <w:rPr>
                <w:sz w:val="24"/>
              </w:rPr>
            </w:r>
          </w:p>
        </w:tc>
        <w:tc>
          <w:tcPr>
            <w:tcW w:w="1474" w:type="dxa"/>
          </w:tcPr>
          <w:p>
            <w:pPr>
              <w:pStyle w:val="0"/>
            </w:pPr>
            <w:r>
              <w:rPr>
                <w:sz w:val="24"/>
              </w:rPr>
            </w:r>
          </w:p>
        </w:tc>
        <w:tc>
          <w:tcPr>
            <w:tcW w:w="850" w:type="dxa"/>
          </w:tcPr>
          <w:p>
            <w:pPr>
              <w:pStyle w:val="0"/>
            </w:pPr>
            <w:r>
              <w:rPr>
                <w:sz w:val="24"/>
              </w:rPr>
            </w:r>
          </w:p>
        </w:tc>
        <w:tc>
          <w:tcPr>
            <w:tcW w:w="1474" w:type="dxa"/>
          </w:tcPr>
          <w:p>
            <w:pPr>
              <w:pStyle w:val="0"/>
            </w:pPr>
            <w:r>
              <w:rPr>
                <w:sz w:val="24"/>
              </w:rPr>
            </w:r>
          </w:p>
        </w:tc>
        <w:tc>
          <w:tcPr>
            <w:tcW w:w="737"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К настоящей отчетности прилагаются следующие документы </w:t>
            </w:r>
            <w:hyperlink w:history="0" w:anchor="P526" w:tooltip="&lt;38&gt; Импортер товара, упаковки прилагает:">
              <w:r>
                <w:rPr>
                  <w:sz w:val="24"/>
                  <w:color w:val="0000ff"/>
                </w:rPr>
                <w:t xml:space="preserve">&lt;38&gt;</w:t>
              </w:r>
            </w:hyperlink>
            <w:r>
              <w:rPr>
                <w:sz w:val="24"/>
              </w:rPr>
              <w:t xml:space="preserve">:</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8277"/>
      </w:tblGrid>
      <w:tr>
        <w:tc>
          <w:tcPr>
            <w:tcW w:w="794" w:type="dxa"/>
          </w:tcPr>
          <w:p>
            <w:pPr>
              <w:pStyle w:val="0"/>
              <w:jc w:val="center"/>
            </w:pPr>
            <w:r>
              <w:rPr>
                <w:sz w:val="24"/>
              </w:rPr>
              <w:t xml:space="preserve">N п/п</w:t>
            </w:r>
          </w:p>
        </w:tc>
        <w:tc>
          <w:tcPr>
            <w:tcW w:w="8277" w:type="dxa"/>
          </w:tcPr>
          <w:p>
            <w:pPr>
              <w:pStyle w:val="0"/>
              <w:jc w:val="center"/>
            </w:pPr>
            <w:r>
              <w:rPr>
                <w:sz w:val="24"/>
              </w:rPr>
              <w:t xml:space="preserve">Наименование прилагаемого документа</w:t>
            </w:r>
          </w:p>
        </w:tc>
      </w:tr>
      <w:tr>
        <w:tc>
          <w:tcPr>
            <w:tcW w:w="794" w:type="dxa"/>
          </w:tcPr>
          <w:p>
            <w:pPr>
              <w:pStyle w:val="0"/>
              <w:jc w:val="center"/>
            </w:pPr>
            <w:r>
              <w:rPr>
                <w:sz w:val="24"/>
              </w:rPr>
              <w:t xml:space="preserve">1.</w:t>
            </w:r>
          </w:p>
        </w:tc>
        <w:tc>
          <w:tcPr>
            <w:tcW w:w="8277"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Полноту и достоверность сведений, представленных в настоящей отчетности и прилагаемых к ней документах, подтверждаю</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798"/>
        <w:gridCol w:w="2835"/>
        <w:gridCol w:w="340"/>
        <w:gridCol w:w="2098"/>
      </w:tblGrid>
      <w:tr>
        <w:tc>
          <w:tcPr>
            <w:tcW w:w="3798" w:type="dxa"/>
            <w:vAlign w:val="bottom"/>
            <w:tcBorders>
              <w:top w:val="nil"/>
              <w:left w:val="nil"/>
              <w:bottom w:val="nil"/>
              <w:right w:val="nil"/>
            </w:tcBorders>
          </w:tcPr>
          <w:p>
            <w:pPr>
              <w:pStyle w:val="0"/>
            </w:pPr>
            <w:r>
              <w:rPr>
                <w:sz w:val="24"/>
              </w:rPr>
              <w:t xml:space="preserve">Должностное лицо, ответственное за представление отчетности (руководитель юридического лица или лицо, уполномоченное на осуществление действий от имени юридического лица), либо индивидуальный предприниматель</w:t>
            </w:r>
          </w:p>
        </w:tc>
        <w:tc>
          <w:tcPr>
            <w:tcW w:w="283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098" w:type="dxa"/>
            <w:tcBorders>
              <w:top w:val="nil"/>
              <w:left w:val="nil"/>
              <w:bottom w:val="single" w:sz="4"/>
              <w:right w:val="nil"/>
            </w:tcBorders>
          </w:tcPr>
          <w:p>
            <w:pPr>
              <w:pStyle w:val="0"/>
            </w:pPr>
            <w:r>
              <w:rPr>
                <w:sz w:val="24"/>
              </w:rPr>
            </w:r>
          </w:p>
        </w:tc>
      </w:tr>
      <w:tr>
        <w:tc>
          <w:tcPr>
            <w:tcW w:w="3798"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c>
          <w:tcPr>
            <w:tcW w:w="340" w:type="dxa"/>
            <w:tcBorders>
              <w:top w:val="nil"/>
              <w:left w:val="nil"/>
              <w:bottom w:val="nil"/>
              <w:right w:val="nil"/>
            </w:tcBorders>
          </w:tcPr>
          <w:p>
            <w:pPr>
              <w:pStyle w:val="0"/>
            </w:pPr>
            <w:r>
              <w:rPr>
                <w:sz w:val="24"/>
              </w:rPr>
            </w:r>
          </w:p>
        </w:tc>
        <w:tc>
          <w:tcPr>
            <w:tcW w:w="2098" w:type="dxa"/>
            <w:tcBorders>
              <w:top w:val="single" w:sz="4"/>
              <w:left w:val="nil"/>
              <w:bottom w:val="nil"/>
              <w:right w:val="nil"/>
            </w:tcBorders>
          </w:tcPr>
          <w:p>
            <w:pPr>
              <w:pStyle w:val="0"/>
              <w:jc w:val="center"/>
            </w:pPr>
            <w:r>
              <w:rPr>
                <w:sz w:val="24"/>
              </w:rPr>
              <w:t xml:space="preserve">(дата)</w:t>
            </w:r>
          </w:p>
        </w:tc>
      </w:tr>
    </w:tbl>
    <w:p>
      <w:pPr>
        <w:pStyle w:val="0"/>
        <w:jc w:val="both"/>
      </w:pPr>
      <w:r>
        <w:rPr>
          <w:sz w:val="24"/>
        </w:rPr>
      </w:r>
    </w:p>
    <w:p>
      <w:pPr>
        <w:pStyle w:val="0"/>
        <w:ind w:firstLine="540"/>
        <w:jc w:val="both"/>
      </w:pPr>
      <w:r>
        <w:rPr>
          <w:sz w:val="24"/>
        </w:rPr>
        <w:t xml:space="preserve">--------------------------------</w:t>
      </w:r>
    </w:p>
    <w:bookmarkStart w:id="486" w:name="P486"/>
    <w:bookmarkEnd w:id="486"/>
    <w:p>
      <w:pPr>
        <w:pStyle w:val="0"/>
        <w:spacing w:before="240" w:lineRule="auto"/>
        <w:ind w:firstLine="540"/>
        <w:jc w:val="both"/>
      </w:pPr>
      <w:r>
        <w:rPr>
          <w:sz w:val="24"/>
        </w:rPr>
        <w:t xml:space="preserve">&lt;1&gt; Сведения </w:t>
      </w:r>
      <w:hyperlink w:history="0" w:anchor="P203" w:tooltip="Раздел I. Общие сведения &lt;1&gt;">
        <w:r>
          <w:rPr>
            <w:sz w:val="24"/>
            <w:color w:val="0000ff"/>
          </w:rPr>
          <w:t xml:space="preserve">раздела I</w:t>
        </w:r>
      </w:hyperlink>
      <w:r>
        <w:rPr>
          <w:sz w:val="24"/>
        </w:rPr>
        <w:t xml:space="preserve"> настоящей отчетности подлежат автоматическому заполнению на основании сведений из учетной записи юридического лица или индивидуального предпринимателя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bookmarkStart w:id="487" w:name="P487"/>
    <w:bookmarkEnd w:id="487"/>
    <w:p>
      <w:pPr>
        <w:pStyle w:val="0"/>
        <w:spacing w:before="240" w:lineRule="auto"/>
        <w:ind w:firstLine="540"/>
        <w:jc w:val="both"/>
      </w:pPr>
      <w:r>
        <w:rPr>
          <w:sz w:val="24"/>
        </w:rPr>
        <w:t xml:space="preserve">&lt;2&gt; В </w:t>
      </w:r>
      <w:hyperlink w:history="0" w:anchor="P255" w:tooltip="Таблица 1">
        <w:r>
          <w:rPr>
            <w:sz w:val="24"/>
            <w:color w:val="0000ff"/>
          </w:rPr>
          <w:t xml:space="preserve">таблице 1</w:t>
        </w:r>
      </w:hyperlink>
      <w:r>
        <w:rPr>
          <w:sz w:val="24"/>
        </w:rPr>
        <w:t xml:space="preserve"> указываются номер и наименование группы товаров, упаковки, отходы от использования которых подлежат утилизации в отчетном периоде, в соответствии с </w:t>
      </w:r>
      <w:r>
        <w:rPr>
          <w:sz w:val="24"/>
        </w:rPr>
        <w:t xml:space="preserve">разделами I</w:t>
      </w:r>
      <w:r>
        <w:rPr>
          <w:sz w:val="24"/>
        </w:rPr>
        <w:t xml:space="preserve"> и </w:t>
      </w:r>
      <w:r>
        <w:rPr>
          <w:sz w:val="24"/>
        </w:rPr>
        <w:t xml:space="preserve">II</w:t>
      </w:r>
      <w:r>
        <w:rPr>
          <w:sz w:val="24"/>
        </w:rPr>
        <w:t xml:space="preserve"> перечней товаров, упаковки, отходы от использования которых подлежат утилизации, утвержденных постановлением Правительства Российской Федерации от 29 декабря 2023 г. N 2414 "Об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упаковки" (далее - перечни товаров, упаковки), а затем построчно - товарные позиции по наименованиям товаров, упаковки из указанных перечней </w:t>
      </w:r>
      <w:hyperlink w:history="0" w:anchor="P271" w:tooltip="2">
        <w:r>
          <w:rPr>
            <w:sz w:val="24"/>
            <w:color w:val="0000ff"/>
          </w:rPr>
          <w:t xml:space="preserve">(графа 2)</w:t>
        </w:r>
      </w:hyperlink>
      <w:r>
        <w:rPr>
          <w:sz w:val="24"/>
        </w:rPr>
        <w:t xml:space="preserve">.</w:t>
      </w:r>
    </w:p>
    <w:bookmarkStart w:id="488" w:name="P488"/>
    <w:bookmarkEnd w:id="488"/>
    <w:p>
      <w:pPr>
        <w:pStyle w:val="0"/>
        <w:spacing w:before="240" w:lineRule="auto"/>
        <w:ind w:firstLine="540"/>
        <w:jc w:val="both"/>
      </w:pPr>
      <w:r>
        <w:rPr>
          <w:sz w:val="24"/>
        </w:rPr>
        <w:t xml:space="preserve">&lt;3&gt; Наименование и код по каждому товару, упаковке указываются по единой Товарной </w:t>
      </w:r>
      <w:r>
        <w:rPr>
          <w:sz w:val="24"/>
        </w:rPr>
        <w:t xml:space="preserve">номенклатуре</w:t>
      </w:r>
      <w:r>
        <w:rPr>
          <w:sz w:val="24"/>
        </w:rPr>
        <w:t xml:space="preserve"> внешнеэкономической деятельности Евразийского экономического союза (ТН ВЭД ЕАЭС).</w:t>
      </w:r>
    </w:p>
    <w:bookmarkStart w:id="489" w:name="P489"/>
    <w:bookmarkEnd w:id="489"/>
    <w:p>
      <w:pPr>
        <w:pStyle w:val="0"/>
        <w:spacing w:before="240" w:lineRule="auto"/>
        <w:ind w:firstLine="540"/>
        <w:jc w:val="both"/>
      </w:pPr>
      <w:r>
        <w:rPr>
          <w:sz w:val="24"/>
        </w:rPr>
        <w:t xml:space="preserve">&lt;4&gt; Указывается общая масса ввезенных в течение отчетного года на территорию Российской Федерации товара, упаковки, отходы от использования которых подлежат утилизации (М</w:t>
      </w:r>
      <w:r>
        <w:rPr>
          <w:sz w:val="24"/>
          <w:vertAlign w:val="subscript"/>
        </w:rPr>
        <w:t xml:space="preserve">т.</w:t>
      </w:r>
      <w:r>
        <w:rPr>
          <w:sz w:val="24"/>
        </w:rPr>
        <w:t xml:space="preserve">), определяемая как сумма значений в строках </w:t>
      </w:r>
      <w:hyperlink w:history="0" w:anchor="P275" w:tooltip="6">
        <w:r>
          <w:rPr>
            <w:sz w:val="24"/>
            <w:color w:val="0000ff"/>
          </w:rPr>
          <w:t xml:space="preserve">граф 6</w:t>
        </w:r>
      </w:hyperlink>
      <w:r>
        <w:rPr>
          <w:sz w:val="24"/>
        </w:rPr>
        <w:t xml:space="preserve"> и </w:t>
      </w:r>
      <w:hyperlink w:history="0" w:anchor="P276" w:tooltip="7">
        <w:r>
          <w:rPr>
            <w:sz w:val="24"/>
            <w:color w:val="0000ff"/>
          </w:rPr>
          <w:t xml:space="preserve">7</w:t>
        </w:r>
      </w:hyperlink>
      <w:r>
        <w:rPr>
          <w:sz w:val="24"/>
        </w:rPr>
        <w:t xml:space="preserve">.</w:t>
      </w:r>
    </w:p>
    <w:bookmarkStart w:id="490" w:name="P490"/>
    <w:bookmarkEnd w:id="490"/>
    <w:p>
      <w:pPr>
        <w:pStyle w:val="0"/>
        <w:spacing w:before="240" w:lineRule="auto"/>
        <w:ind w:firstLine="540"/>
        <w:jc w:val="both"/>
      </w:pPr>
      <w:r>
        <w:rPr>
          <w:sz w:val="24"/>
        </w:rPr>
        <w:t xml:space="preserve">&lt;5&gt; Указывается общая масса ввезенных с 1 января по 31 августа 2024 г. (в случае подачи настоящей отчетности за 2024 год) и с 1 сентября по 31 декабря 2025 г. (в случае подачи настоящей отчетности за 2025 год) на территорию Российской Федерации товара, упаковки, отходы от использования которых подлежат утилизации.</w:t>
      </w:r>
    </w:p>
    <w:bookmarkStart w:id="491" w:name="P491"/>
    <w:bookmarkEnd w:id="491"/>
    <w:p>
      <w:pPr>
        <w:pStyle w:val="0"/>
        <w:spacing w:before="240" w:lineRule="auto"/>
        <w:ind w:firstLine="540"/>
        <w:jc w:val="both"/>
      </w:pPr>
      <w:r>
        <w:rPr>
          <w:sz w:val="24"/>
        </w:rPr>
        <w:t xml:space="preserve">&lt;6&gt; Указывается общая масса ввезенных на территорию Российской Федерации в период с 1 сентября 2024 г. по 1 сентября 2025 г. товара, упаковки, отходы от использования которых подлежат утилизации, включенных в перечень отдельных видов товаров, в том числе товаров в упаковке, участвующих в эксперименте, согласно </w:t>
      </w:r>
      <w:hyperlink w:history="0" w:anchor="P123" w:tooltip="ПЕРЕЧЕНЬ">
        <w:r>
          <w:rPr>
            <w:sz w:val="24"/>
            <w:color w:val="0000ff"/>
          </w:rPr>
          <w:t xml:space="preserve">приложению N 1</w:t>
        </w:r>
      </w:hyperlink>
      <w:r>
        <w:rPr>
          <w:sz w:val="24"/>
        </w:rPr>
        <w:t xml:space="preserve"> к Положению о проведении эксперимента в отношении отдельных групп товаров, в том числе товаров в упаковке, утвержденному постановлением Правительства Российской Федерации от 1 июня 2024 г. N 750 "О проведении эксперимента в отношении отдельных групп товаров, в том числе товаров в упаковке" (далее - перечень эксперимента), определяемая как сумма значений общей массы ввезенного товара, упаковки (без учета норматива утилизации), указанных в строке </w:t>
      </w:r>
      <w:hyperlink w:history="0" w:anchor="P274" w:tooltip="5">
        <w:r>
          <w:rPr>
            <w:sz w:val="24"/>
            <w:color w:val="0000ff"/>
          </w:rPr>
          <w:t xml:space="preserve">графы 5 таблицы 1 раздела I</w:t>
        </w:r>
      </w:hyperlink>
      <w:r>
        <w:rPr>
          <w:sz w:val="24"/>
        </w:rPr>
        <w:t xml:space="preserve"> отчетности о массе товаров, упаковки, ввезенных из государств, не являющихся членами Евразийского экономического союза, по форме согласно </w:t>
      </w:r>
      <w:r>
        <w:rPr>
          <w:sz w:val="24"/>
        </w:rPr>
        <w:t xml:space="preserve">приложению N 2</w:t>
      </w:r>
      <w:r>
        <w:rPr>
          <w:sz w:val="24"/>
        </w:rPr>
        <w:t xml:space="preserve"> к Правилам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утвержденным постановлением Правительства Российской Федерации от 31 мая 2024 г. N 741 "Об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w:t>
      </w:r>
    </w:p>
    <w:bookmarkStart w:id="492" w:name="P492"/>
    <w:bookmarkEnd w:id="492"/>
    <w:p>
      <w:pPr>
        <w:pStyle w:val="0"/>
        <w:spacing w:before="240" w:lineRule="auto"/>
        <w:ind w:firstLine="540"/>
        <w:jc w:val="both"/>
      </w:pPr>
      <w:r>
        <w:rPr>
          <w:sz w:val="24"/>
        </w:rPr>
        <w:t xml:space="preserve">&lt;7&gt; Указывается масса товара, упаковки, которые в отчетном периоде ввезены на территорию Российской Федерации и которые вывезены из Российской Федерации (М</w:t>
      </w:r>
      <w:r>
        <w:rPr>
          <w:sz w:val="24"/>
          <w:vertAlign w:val="subscript"/>
        </w:rPr>
        <w:t xml:space="preserve">выв.т.</w:t>
      </w:r>
      <w:r>
        <w:rPr>
          <w:sz w:val="24"/>
        </w:rPr>
        <w:t xml:space="preserve">). Заполняется на основании таможенных документов и (или) на основании документов, полученных от других лиц (контрагентов) при осуществлении коммерческой деятельности, в случае, если вывоз товара, упаковки подтвержден в порядке, утверждаемом Правительством Российской Федерации в соответствии с </w:t>
      </w:r>
      <w:r>
        <w:rPr>
          <w:sz w:val="24"/>
        </w:rPr>
        <w:t xml:space="preserve">пунктом 5 статьи 24.5</w:t>
      </w:r>
      <w:r>
        <w:rPr>
          <w:sz w:val="24"/>
        </w:rPr>
        <w:t xml:space="preserve"> Федерального закона "Об отходах производства и потребления". В отношении упаковки строка </w:t>
      </w:r>
      <w:hyperlink w:history="0" w:anchor="P277" w:tooltip="8">
        <w:r>
          <w:rPr>
            <w:sz w:val="24"/>
            <w:color w:val="0000ff"/>
          </w:rPr>
          <w:t xml:space="preserve">графы 8</w:t>
        </w:r>
      </w:hyperlink>
      <w:r>
        <w:rPr>
          <w:sz w:val="24"/>
        </w:rPr>
        <w:t xml:space="preserve"> заполняется как в случае, если упаковка вывозилась в качестве товара, так и в случае вывоза товара, который был помещен в данную упаковку. В случае отсутствия у импортера товара информации и документов (в том числе полученных от других лиц (контрагентов), подтверждающих вывоз с территории Российской Федерации товара, упаковки, сведения о которых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в строке </w:t>
      </w:r>
      <w:hyperlink w:history="0" w:anchor="P277" w:tooltip="8">
        <w:r>
          <w:rPr>
            <w:sz w:val="24"/>
            <w:color w:val="0000ff"/>
          </w:rPr>
          <w:t xml:space="preserve">графы 8</w:t>
        </w:r>
      </w:hyperlink>
      <w:r>
        <w:rPr>
          <w:sz w:val="24"/>
        </w:rPr>
        <w:t xml:space="preserve"> ставится значение "0".</w:t>
      </w:r>
    </w:p>
    <w:bookmarkStart w:id="493" w:name="P493"/>
    <w:bookmarkEnd w:id="493"/>
    <w:p>
      <w:pPr>
        <w:pStyle w:val="0"/>
        <w:spacing w:before="240" w:lineRule="auto"/>
        <w:ind w:firstLine="540"/>
        <w:jc w:val="both"/>
      </w:pPr>
      <w:r>
        <w:rPr>
          <w:sz w:val="24"/>
        </w:rPr>
        <w:t xml:space="preserve">&lt;8&gt; Указывается масса товара, упаковки, в отношении отходов от использования которых обязанность по выполнению их утилизации наступила в предыдущие отчетные периоды, в отношение которых в предыдущие отчетные периоды был уплачен экологический сбор и которые вывезены в отчетном периоде из Российской Федерации (М</w:t>
      </w:r>
      <w:r>
        <w:rPr>
          <w:sz w:val="24"/>
          <w:vertAlign w:val="subscript"/>
        </w:rPr>
        <w:t xml:space="preserve">пред.выв.т.</w:t>
      </w:r>
      <w:r>
        <w:rPr>
          <w:sz w:val="24"/>
        </w:rPr>
        <w:t xml:space="preserve">). Заполняется на основании таможенных документов и (или) на основании документов, полученных от других лиц (контрагентов) при осуществлении коммерческой деятельности, в случае, если вывоз товара, упаковки подтвержден в порядке, утверждаемом Правительством Российской Федерации в соответствии с </w:t>
      </w:r>
      <w:r>
        <w:rPr>
          <w:sz w:val="24"/>
        </w:rPr>
        <w:t xml:space="preserve">пунктом 5 статьи 24.5</w:t>
      </w:r>
      <w:r>
        <w:rPr>
          <w:sz w:val="24"/>
        </w:rPr>
        <w:t xml:space="preserve"> Федерального закона "Об отходах производства и потребления". В отношении упаковки строка </w:t>
      </w:r>
      <w:hyperlink w:history="0" w:anchor="P278" w:tooltip="9">
        <w:r>
          <w:rPr>
            <w:sz w:val="24"/>
            <w:color w:val="0000ff"/>
          </w:rPr>
          <w:t xml:space="preserve">графы 9</w:t>
        </w:r>
      </w:hyperlink>
      <w:r>
        <w:rPr>
          <w:sz w:val="24"/>
        </w:rPr>
        <w:t xml:space="preserve"> заполняется как в случае, если упаковка вывозилась в качестве товара, так и в случае вывоза товара, который был помещен в данную упаковку. В случае отсутствия у импортера товара информации и документов (в том числе полученных от других лиц (контрагентов), подтверждающих вывоз с территории Российской Федерации товара, упаковки, сведения о которых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в строке </w:t>
      </w:r>
      <w:hyperlink w:history="0" w:anchor="P278" w:tooltip="9">
        <w:r>
          <w:rPr>
            <w:sz w:val="24"/>
            <w:color w:val="0000ff"/>
          </w:rPr>
          <w:t xml:space="preserve">графы 9</w:t>
        </w:r>
      </w:hyperlink>
      <w:r>
        <w:rPr>
          <w:sz w:val="24"/>
        </w:rPr>
        <w:t xml:space="preserve"> ставится значение "0".</w:t>
      </w:r>
    </w:p>
    <w:bookmarkStart w:id="494" w:name="P494"/>
    <w:bookmarkEnd w:id="494"/>
    <w:p>
      <w:pPr>
        <w:pStyle w:val="0"/>
        <w:spacing w:before="240" w:lineRule="auto"/>
        <w:ind w:firstLine="540"/>
        <w:jc w:val="both"/>
      </w:pPr>
      <w:r>
        <w:rPr>
          <w:sz w:val="24"/>
        </w:rPr>
        <w:t xml:space="preserve">&lt;9&gt; В строке </w:t>
      </w:r>
      <w:hyperlink w:history="0" w:anchor="P279" w:tooltip="10">
        <w:r>
          <w:rPr>
            <w:sz w:val="24"/>
            <w:color w:val="0000ff"/>
          </w:rPr>
          <w:t xml:space="preserve">графы 10</w:t>
        </w:r>
      </w:hyperlink>
      <w:r>
        <w:rPr>
          <w:sz w:val="24"/>
        </w:rPr>
        <w:t xml:space="preserve"> отражается наименование юридического лица или фамилия, имя, отчество (при наличии) физического лица, являющегося индивидуальным предпринимателем, который осуществил вывоз товара, упаковки, его идентификационный номер налогоплательщика и основной государственный регистрационный номер либо указывается "самостоятельно", если вывоз осуществлялся производителем товара, импортером товара. Заполняется в случае, если в отчетном периоде определенная масса товара, упаковки, сведения о которых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вывозилась из Российской Федерации.</w:t>
      </w:r>
    </w:p>
    <w:bookmarkStart w:id="495" w:name="P495"/>
    <w:bookmarkEnd w:id="495"/>
    <w:p>
      <w:pPr>
        <w:pStyle w:val="0"/>
        <w:spacing w:before="240" w:lineRule="auto"/>
        <w:ind w:firstLine="540"/>
        <w:jc w:val="both"/>
      </w:pPr>
      <w:r>
        <w:rPr>
          <w:sz w:val="24"/>
        </w:rPr>
        <w:t xml:space="preserve">&lt;10&gt; В строке </w:t>
      </w:r>
      <w:hyperlink w:history="0" w:anchor="P280" w:tooltip="11">
        <w:r>
          <w:rPr>
            <w:sz w:val="24"/>
            <w:color w:val="0000ff"/>
          </w:rPr>
          <w:t xml:space="preserve">графы 11</w:t>
        </w:r>
      </w:hyperlink>
      <w:r>
        <w:rPr>
          <w:sz w:val="24"/>
        </w:rPr>
        <w:t xml:space="preserve"> отражаются реквизиты (номер, дата) документов, подтверждающих вывоз с территории Российской Федерации товара, упаковки, в случае, если в отчетном периоде определенная масса товара, упаковки, сведения о которых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вывозилась из Российской Федерации.</w:t>
      </w:r>
    </w:p>
    <w:bookmarkStart w:id="496" w:name="P496"/>
    <w:bookmarkEnd w:id="496"/>
    <w:p>
      <w:pPr>
        <w:pStyle w:val="0"/>
        <w:spacing w:before="240" w:lineRule="auto"/>
        <w:ind w:firstLine="540"/>
        <w:jc w:val="both"/>
      </w:pPr>
      <w:r>
        <w:rPr>
          <w:sz w:val="24"/>
        </w:rPr>
        <w:t xml:space="preserve">&lt;11&gt; Указывается общая масса товара, сведения о котором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используемого импортером товара (в случае, если импортер одновременно является производителем конечного товара) самостоятельно или переданного другим лицам в качестве сырья, материалов, запасных частей, комплектующих при производстве товаров, включенных в перечни товаров, упаковки, и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w:t>
      </w:r>
      <w:r>
        <w:rPr>
          <w:sz w:val="24"/>
        </w:rPr>
        <w:t xml:space="preserve">пунктом 2 статьи 24.1</w:t>
      </w:r>
      <w:r>
        <w:rPr>
          <w:sz w:val="24"/>
        </w:rPr>
        <w:t xml:space="preserve"> Федерального закона "Об отходах производства и потребления" (М</w:t>
      </w:r>
      <w:r>
        <w:rPr>
          <w:sz w:val="24"/>
          <w:vertAlign w:val="subscript"/>
        </w:rPr>
        <w:t xml:space="preserve">зап.</w:t>
      </w:r>
      <w:r>
        <w:rPr>
          <w:sz w:val="24"/>
        </w:rPr>
        <w:t xml:space="preserve">). При отсутствии такого товара в строках </w:t>
      </w:r>
      <w:hyperlink w:history="0" w:anchor="P323" w:tooltip="12">
        <w:r>
          <w:rPr>
            <w:sz w:val="24"/>
            <w:color w:val="0000ff"/>
          </w:rPr>
          <w:t xml:space="preserve">граф 12</w:t>
        </w:r>
      </w:hyperlink>
      <w:r>
        <w:rPr>
          <w:sz w:val="24"/>
        </w:rPr>
        <w:t xml:space="preserve"> - </w:t>
      </w:r>
      <w:hyperlink w:history="0" w:anchor="P325" w:tooltip="14">
        <w:r>
          <w:rPr>
            <w:sz w:val="24"/>
            <w:color w:val="0000ff"/>
          </w:rPr>
          <w:t xml:space="preserve">14</w:t>
        </w:r>
      </w:hyperlink>
      <w:r>
        <w:rPr>
          <w:sz w:val="24"/>
        </w:rPr>
        <w:t xml:space="preserve"> ставится значение "0".</w:t>
      </w:r>
    </w:p>
    <w:bookmarkStart w:id="497" w:name="P497"/>
    <w:bookmarkEnd w:id="497"/>
    <w:p>
      <w:pPr>
        <w:pStyle w:val="0"/>
        <w:spacing w:before="240" w:lineRule="auto"/>
        <w:ind w:firstLine="540"/>
        <w:jc w:val="both"/>
      </w:pPr>
      <w:r>
        <w:rPr>
          <w:sz w:val="24"/>
        </w:rPr>
        <w:t xml:space="preserve">&lt;12&gt; Указывается масса товара, сведения о котором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используемого импортером товара (в случае, если импортер одновременно является производителем конечного товара) самостоятельно в качестве сырья, материалов, запасных частей, комплектующих при производстве товаров, включенных в перечни товаров, упаковки, и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w:t>
      </w:r>
      <w:r>
        <w:rPr>
          <w:sz w:val="24"/>
        </w:rPr>
        <w:t xml:space="preserve">пунктом 2 статьи 24.1</w:t>
      </w:r>
      <w:r>
        <w:rPr>
          <w:sz w:val="24"/>
        </w:rPr>
        <w:t xml:space="preserve"> Федерального закона "Об отходах производства и потребления".</w:t>
      </w:r>
    </w:p>
    <w:bookmarkStart w:id="498" w:name="P498"/>
    <w:bookmarkEnd w:id="498"/>
    <w:p>
      <w:pPr>
        <w:pStyle w:val="0"/>
        <w:spacing w:before="240" w:lineRule="auto"/>
        <w:ind w:firstLine="540"/>
        <w:jc w:val="both"/>
      </w:pPr>
      <w:r>
        <w:rPr>
          <w:sz w:val="24"/>
        </w:rPr>
        <w:t xml:space="preserve">&lt;13&gt; Указывается масса товара, сведения о котором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переданного другим лицам в качестве сырья, материалов, запасных частей, комплектующих при производстве товаров, включенных в перечни товаров, упаковки, и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w:t>
      </w:r>
      <w:r>
        <w:rPr>
          <w:sz w:val="24"/>
        </w:rPr>
        <w:t xml:space="preserve">пунктом 2 статьи 24.1</w:t>
      </w:r>
      <w:r>
        <w:rPr>
          <w:sz w:val="24"/>
        </w:rPr>
        <w:t xml:space="preserve"> Федерального закона "Об отходах производства и потребления". В случае отсутствия у импортера товара информации и документов, подтверждающих передачу лицам, указанным в строке </w:t>
      </w:r>
      <w:hyperlink w:history="0" w:anchor="P326" w:tooltip="15">
        <w:r>
          <w:rPr>
            <w:sz w:val="24"/>
            <w:color w:val="0000ff"/>
          </w:rPr>
          <w:t xml:space="preserve">графы 15</w:t>
        </w:r>
      </w:hyperlink>
      <w:r>
        <w:rPr>
          <w:sz w:val="24"/>
        </w:rPr>
        <w:t xml:space="preserve">, товара для использования в качестве сырья, материалов, запасных частей, комплектующих, в строке </w:t>
      </w:r>
      <w:hyperlink w:history="0" w:anchor="P325" w:tooltip="14">
        <w:r>
          <w:rPr>
            <w:sz w:val="24"/>
            <w:color w:val="0000ff"/>
          </w:rPr>
          <w:t xml:space="preserve">графы 14</w:t>
        </w:r>
      </w:hyperlink>
      <w:r>
        <w:rPr>
          <w:sz w:val="24"/>
        </w:rPr>
        <w:t xml:space="preserve"> ставится значение "0".</w:t>
      </w:r>
    </w:p>
    <w:bookmarkStart w:id="499" w:name="P499"/>
    <w:bookmarkEnd w:id="499"/>
    <w:p>
      <w:pPr>
        <w:pStyle w:val="0"/>
        <w:spacing w:before="240" w:lineRule="auto"/>
        <w:ind w:firstLine="540"/>
        <w:jc w:val="both"/>
      </w:pPr>
      <w:r>
        <w:rPr>
          <w:sz w:val="24"/>
        </w:rPr>
        <w:t xml:space="preserve">&lt;14&gt; Указывается наименование юридического лица или фамилия, имя, отчество (при наличии) физического лица, являющегося индивидуальным предпринимателем, сведения о котором в качестве производителя, импортера товара содержатся в реестре таких лиц, являющемся информационной подсистемой единой федеральной государственной информационной системы учета отходов от использования товаров, и которому передан товар, сведения о котором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для использования в качестве сырья, материалов, запасных частей, комплектующих при производстве товаров, включенных в перечни товаров, упаковки.</w:t>
      </w:r>
    </w:p>
    <w:p>
      <w:pPr>
        <w:pStyle w:val="0"/>
        <w:spacing w:before="240" w:lineRule="auto"/>
        <w:ind w:firstLine="540"/>
        <w:jc w:val="both"/>
      </w:pPr>
      <w:r>
        <w:rPr>
          <w:sz w:val="24"/>
        </w:rPr>
        <w:t xml:space="preserve">Указывается наименование юридического лица или фамилия, имя, отчество (при наличии) физического лица, являющегося индивидуальным предпринимателем, которому передан товар, сведения о котором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для использования в качестве сырья, материалов, запасных частей, комплектующих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w:t>
      </w:r>
      <w:r>
        <w:rPr>
          <w:sz w:val="24"/>
        </w:rPr>
        <w:t xml:space="preserve">пунктом 2 статьи 24.1</w:t>
      </w:r>
      <w:r>
        <w:rPr>
          <w:sz w:val="24"/>
        </w:rPr>
        <w:t xml:space="preserve"> Федерального закона "Об отходах производства и потребления".</w:t>
      </w:r>
    </w:p>
    <w:bookmarkStart w:id="501" w:name="P501"/>
    <w:bookmarkEnd w:id="501"/>
    <w:p>
      <w:pPr>
        <w:pStyle w:val="0"/>
        <w:spacing w:before="240" w:lineRule="auto"/>
        <w:ind w:firstLine="540"/>
        <w:jc w:val="both"/>
      </w:pPr>
      <w:r>
        <w:rPr>
          <w:sz w:val="24"/>
        </w:rPr>
        <w:t xml:space="preserve">&lt;15&gt; Указываются реквизиты (номер, дата) товарно-сопроводительных документов и иных документов (договоры, заключенные между импортером товара, реализуемого в качестве сырья, материалов, запасных частей, комплектующих, и юридическим лицом или индивидуальным предпринимателем (производителем конечного товара), которому импортер товара реализует их в качестве сырья, материалов, запасных частей, комплектующих, акты приема-передачи, акты выполненных работ и иные документы), подтверждающих передачу импортером товара лицам, указанных в строке </w:t>
      </w:r>
      <w:hyperlink w:history="0" w:anchor="P326" w:tooltip="15">
        <w:r>
          <w:rPr>
            <w:sz w:val="24"/>
            <w:color w:val="0000ff"/>
          </w:rPr>
          <w:t xml:space="preserve">графы 15</w:t>
        </w:r>
      </w:hyperlink>
      <w:r>
        <w:rPr>
          <w:sz w:val="24"/>
        </w:rPr>
        <w:t xml:space="preserve">, товара для использования в качестве сырья, материалов, запасных частей, комплектующих.</w:t>
      </w:r>
    </w:p>
    <w:bookmarkStart w:id="502" w:name="P502"/>
    <w:bookmarkEnd w:id="502"/>
    <w:p>
      <w:pPr>
        <w:pStyle w:val="0"/>
        <w:spacing w:before="240" w:lineRule="auto"/>
        <w:ind w:firstLine="540"/>
        <w:jc w:val="both"/>
      </w:pPr>
      <w:r>
        <w:rPr>
          <w:sz w:val="24"/>
        </w:rPr>
        <w:t xml:space="preserve">&lt;16&gt; Указываются наименование и код товара (товаров) по Общероссийскому </w:t>
      </w:r>
      <w:r>
        <w:rPr>
          <w:sz w:val="24"/>
        </w:rPr>
        <w:t xml:space="preserve">классификатору</w:t>
      </w:r>
      <w:r>
        <w:rPr>
          <w:sz w:val="24"/>
        </w:rPr>
        <w:t xml:space="preserve"> продукции по видам экономической деятельности ОК 034-2014 (КПЕС 2008) согласно товарным позициям по товарам, упаковке </w:t>
      </w:r>
      <w:hyperlink w:history="0" w:anchor="P203" w:tooltip="Раздел I. Общие сведения &lt;1&gt;">
        <w:r>
          <w:rPr>
            <w:sz w:val="24"/>
            <w:color w:val="0000ff"/>
          </w:rPr>
          <w:t xml:space="preserve">разделов I</w:t>
        </w:r>
      </w:hyperlink>
      <w:r>
        <w:rPr>
          <w:sz w:val="24"/>
        </w:rPr>
        <w:t xml:space="preserve"> и </w:t>
      </w:r>
      <w:hyperlink w:history="0" w:anchor="P251" w:tooltip="Раздел II. Информация о товарах, упаковке, ввезенных на территорию Российской Федерации">
        <w:r>
          <w:rPr>
            <w:sz w:val="24"/>
            <w:color w:val="0000ff"/>
          </w:rPr>
          <w:t xml:space="preserve">II</w:t>
        </w:r>
      </w:hyperlink>
      <w:r>
        <w:rPr>
          <w:sz w:val="24"/>
        </w:rPr>
        <w:t xml:space="preserve"> перечней товаров, упаковки, при производстве которого в качестве сырья, материалов, запасных частей, комплектующих использован и (или) передан для использования товар, сведения о котором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w:t>
      </w:r>
    </w:p>
    <w:p>
      <w:pPr>
        <w:pStyle w:val="0"/>
        <w:spacing w:before="240" w:lineRule="auto"/>
        <w:ind w:firstLine="540"/>
        <w:jc w:val="both"/>
      </w:pPr>
      <w:r>
        <w:rPr>
          <w:sz w:val="24"/>
        </w:rPr>
        <w:t xml:space="preserve">Указываются наименование и код товара (товаров) по Общероссийскому </w:t>
      </w:r>
      <w:r>
        <w:rPr>
          <w:sz w:val="24"/>
        </w:rPr>
        <w:t xml:space="preserve">классификатору</w:t>
      </w:r>
      <w:r>
        <w:rPr>
          <w:sz w:val="24"/>
        </w:rPr>
        <w:t xml:space="preserve"> продукции по видам экономической деятельности ОК 034-2014 (КПЕС 2008), являющихся транспортными средствами, в отношении которых уплачивается утилизационный сбор и виды и категории которых устанавливаются в соответствии с </w:t>
      </w:r>
      <w:r>
        <w:rPr>
          <w:sz w:val="24"/>
        </w:rPr>
        <w:t xml:space="preserve">пунктом 2 статьи 24.1</w:t>
      </w:r>
      <w:r>
        <w:rPr>
          <w:sz w:val="24"/>
        </w:rPr>
        <w:t xml:space="preserve"> Федерального закона "Об отходах производства и потребления", и при производстве которых в качестве сырья, материалов, запасных частей, комплектующих использован и (или) передан для использования товар, сведения о котором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w:t>
      </w:r>
    </w:p>
    <w:p>
      <w:pPr>
        <w:pStyle w:val="0"/>
        <w:spacing w:before="240" w:lineRule="auto"/>
        <w:ind w:firstLine="540"/>
        <w:jc w:val="both"/>
      </w:pPr>
      <w:r>
        <w:rPr>
          <w:sz w:val="24"/>
        </w:rPr>
        <w:t xml:space="preserve">В случае передачи товара, сведения о котором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в качестве сырья, материалов, запасных частей, комплектующих лицам, сведения о которых указаны в строке </w:t>
      </w:r>
      <w:hyperlink w:history="0" w:anchor="P326" w:tooltip="15">
        <w:r>
          <w:rPr>
            <w:sz w:val="24"/>
            <w:color w:val="0000ff"/>
          </w:rPr>
          <w:t xml:space="preserve">графы 15</w:t>
        </w:r>
      </w:hyperlink>
      <w:r>
        <w:rPr>
          <w:sz w:val="24"/>
        </w:rPr>
        <w:t xml:space="preserve">, импортером товара указываются сведения в строках </w:t>
      </w:r>
      <w:hyperlink w:history="0" w:anchor="P328" w:tooltip="17">
        <w:r>
          <w:rPr>
            <w:sz w:val="24"/>
            <w:color w:val="0000ff"/>
          </w:rPr>
          <w:t xml:space="preserve">граф 17</w:t>
        </w:r>
      </w:hyperlink>
      <w:r>
        <w:rPr>
          <w:sz w:val="24"/>
        </w:rPr>
        <w:t xml:space="preserve"> и </w:t>
      </w:r>
      <w:hyperlink w:history="0" w:anchor="P329" w:tooltip="18">
        <w:r>
          <w:rPr>
            <w:sz w:val="24"/>
            <w:color w:val="0000ff"/>
          </w:rPr>
          <w:t xml:space="preserve">18</w:t>
        </w:r>
      </w:hyperlink>
      <w:r>
        <w:rPr>
          <w:sz w:val="24"/>
        </w:rPr>
        <w:t xml:space="preserve"> на основании информации, полученной от указанных лиц.</w:t>
      </w:r>
    </w:p>
    <w:bookmarkStart w:id="505" w:name="P505"/>
    <w:bookmarkEnd w:id="505"/>
    <w:p>
      <w:pPr>
        <w:pStyle w:val="0"/>
        <w:spacing w:before="240" w:lineRule="auto"/>
        <w:ind w:firstLine="540"/>
        <w:jc w:val="both"/>
      </w:pPr>
      <w:r>
        <w:rPr>
          <w:sz w:val="24"/>
        </w:rPr>
        <w:t xml:space="preserve">&lt;17&gt; Указывается масса отходов от использования товара, упаковки, подлежащих утилизации в отчетном периоде без учета норматива утилизации (М</w:t>
      </w:r>
      <w:r>
        <w:rPr>
          <w:sz w:val="24"/>
          <w:vertAlign w:val="subscript"/>
        </w:rPr>
        <w:t xml:space="preserve">обяз.т.</w:t>
      </w:r>
      <w:r>
        <w:rPr>
          <w:sz w:val="24"/>
        </w:rPr>
        <w:t xml:space="preserve">), определяется как разница между значениями М</w:t>
      </w:r>
      <w:r>
        <w:rPr>
          <w:sz w:val="24"/>
          <w:vertAlign w:val="subscript"/>
        </w:rPr>
        <w:t xml:space="preserve">т.</w:t>
      </w:r>
      <w:r>
        <w:rPr>
          <w:sz w:val="24"/>
        </w:rPr>
        <w:t xml:space="preserve"> </w:t>
      </w:r>
      <w:hyperlink w:history="0" w:anchor="P274" w:tooltip="5">
        <w:r>
          <w:rPr>
            <w:sz w:val="24"/>
            <w:color w:val="0000ff"/>
          </w:rPr>
          <w:t xml:space="preserve">(графа 5)</w:t>
        </w:r>
      </w:hyperlink>
      <w:r>
        <w:rPr>
          <w:sz w:val="24"/>
        </w:rPr>
        <w:t xml:space="preserve">, и М</w:t>
      </w:r>
      <w:r>
        <w:rPr>
          <w:sz w:val="24"/>
          <w:vertAlign w:val="subscript"/>
        </w:rPr>
        <w:t xml:space="preserve">выв.т.</w:t>
      </w:r>
      <w:r>
        <w:rPr>
          <w:sz w:val="24"/>
        </w:rPr>
        <w:t xml:space="preserve"> </w:t>
      </w:r>
      <w:hyperlink w:history="0" w:anchor="P277" w:tooltip="8">
        <w:r>
          <w:rPr>
            <w:sz w:val="24"/>
            <w:color w:val="0000ff"/>
          </w:rPr>
          <w:t xml:space="preserve">(графа 8)</w:t>
        </w:r>
      </w:hyperlink>
      <w:r>
        <w:rPr>
          <w:sz w:val="24"/>
        </w:rPr>
        <w:t xml:space="preserve">, и М</w:t>
      </w:r>
      <w:r>
        <w:rPr>
          <w:sz w:val="24"/>
          <w:vertAlign w:val="subscript"/>
        </w:rPr>
        <w:t xml:space="preserve">зап.</w:t>
      </w:r>
      <w:r>
        <w:rPr>
          <w:sz w:val="24"/>
        </w:rPr>
        <w:t xml:space="preserve"> </w:t>
      </w:r>
      <w:hyperlink w:history="0" w:anchor="P323" w:tooltip="12">
        <w:r>
          <w:rPr>
            <w:sz w:val="24"/>
            <w:color w:val="0000ff"/>
          </w:rPr>
          <w:t xml:space="preserve">(графа 12)</w:t>
        </w:r>
      </w:hyperlink>
      <w:r>
        <w:rPr>
          <w:sz w:val="24"/>
        </w:rPr>
        <w:t xml:space="preserve">. Строка </w:t>
      </w:r>
      <w:hyperlink w:history="0" w:anchor="P330" w:tooltip="19">
        <w:r>
          <w:rPr>
            <w:sz w:val="24"/>
            <w:color w:val="0000ff"/>
          </w:rPr>
          <w:t xml:space="preserve">графы 19</w:t>
        </w:r>
      </w:hyperlink>
      <w:r>
        <w:rPr>
          <w:sz w:val="24"/>
        </w:rPr>
        <w:t xml:space="preserve"> заполняется автоматически при использовании интерактивных форм отчетности электронного сервиса "личный кабинет" единой федеральной государственной информационной системы учета отходов от использования товаров (далее - интерактивные формы отчетности). При расчете данного показателя не учитывается значение М</w:t>
      </w:r>
      <w:r>
        <w:rPr>
          <w:sz w:val="24"/>
          <w:vertAlign w:val="subscript"/>
        </w:rPr>
        <w:t xml:space="preserve">пред.выв.т.</w:t>
      </w:r>
      <w:r>
        <w:rPr>
          <w:sz w:val="24"/>
        </w:rPr>
        <w:t xml:space="preserve"> </w:t>
      </w:r>
      <w:hyperlink w:history="0" w:anchor="P278" w:tooltip="9">
        <w:r>
          <w:rPr>
            <w:sz w:val="24"/>
            <w:color w:val="0000ff"/>
          </w:rPr>
          <w:t xml:space="preserve">(графа 9)</w:t>
        </w:r>
      </w:hyperlink>
      <w:r>
        <w:rPr>
          <w:sz w:val="24"/>
        </w:rPr>
        <w:t xml:space="preserve">.</w:t>
      </w:r>
    </w:p>
    <w:bookmarkStart w:id="506" w:name="P506"/>
    <w:bookmarkEnd w:id="506"/>
    <w:p>
      <w:pPr>
        <w:pStyle w:val="0"/>
        <w:spacing w:before="240" w:lineRule="auto"/>
        <w:ind w:firstLine="540"/>
        <w:jc w:val="both"/>
      </w:pPr>
      <w:r>
        <w:rPr>
          <w:sz w:val="24"/>
        </w:rPr>
        <w:t xml:space="preserve">&lt;18&gt; Указывается норматив утилизации отходов от использования товара, упаковки, установленный Правительством Российской Федерации в соответствии с </w:t>
      </w:r>
      <w:r>
        <w:rPr>
          <w:sz w:val="24"/>
        </w:rPr>
        <w:t xml:space="preserve">пунктом 2 статьи 24.2</w:t>
      </w:r>
      <w:r>
        <w:rPr>
          <w:sz w:val="24"/>
        </w:rPr>
        <w:t xml:space="preserve"> Федерального закона "Об отходах производства и потребления", и (или) процент массы упаковки, отходы от использования которой подлежат утилизации в размере, установленном </w:t>
      </w:r>
      <w:r>
        <w:rPr>
          <w:sz w:val="24"/>
        </w:rPr>
        <w:t xml:space="preserve">частью 5 статьи 7</w:t>
      </w:r>
      <w:r>
        <w:rPr>
          <w:sz w:val="24"/>
        </w:rPr>
        <w:t xml:space="preserve"> Федерального закона от 4 августа 2023 г. N 451-ФЗ "О внесении изменений в Федеральный закон "Об отходах производства и потребления" и отдельные законодательные акты Российской Федерации" или </w:t>
      </w:r>
      <w:r>
        <w:rPr>
          <w:sz w:val="24"/>
        </w:rPr>
        <w:t xml:space="preserve">пунктом 4 статьи 24.2</w:t>
      </w:r>
      <w:r>
        <w:rPr>
          <w:sz w:val="24"/>
        </w:rPr>
        <w:t xml:space="preserve"> Федерального закона "Об отходах производства и потребления" (N) (далее - норматив утилизации). Строка </w:t>
      </w:r>
      <w:hyperlink w:history="0" w:anchor="P331" w:tooltip="20">
        <w:r>
          <w:rPr>
            <w:sz w:val="24"/>
            <w:color w:val="0000ff"/>
          </w:rPr>
          <w:t xml:space="preserve">графы 20 таблицы 1</w:t>
        </w:r>
      </w:hyperlink>
      <w:r>
        <w:rPr>
          <w:sz w:val="24"/>
        </w:rPr>
        <w:t xml:space="preserve"> и строка </w:t>
      </w:r>
      <w:hyperlink w:history="0" w:anchor="P439" w:tooltip="15">
        <w:r>
          <w:rPr>
            <w:sz w:val="24"/>
            <w:color w:val="0000ff"/>
          </w:rPr>
          <w:t xml:space="preserve">графы 15 таблицы 2</w:t>
        </w:r>
      </w:hyperlink>
      <w:r>
        <w:rPr>
          <w:sz w:val="24"/>
        </w:rPr>
        <w:t xml:space="preserve"> заполняются автоматически при использовании интерактивных форм отчетности.</w:t>
      </w:r>
    </w:p>
    <w:bookmarkStart w:id="507" w:name="P507"/>
    <w:bookmarkEnd w:id="507"/>
    <w:p>
      <w:pPr>
        <w:pStyle w:val="0"/>
        <w:spacing w:before="240" w:lineRule="auto"/>
        <w:ind w:firstLine="540"/>
        <w:jc w:val="both"/>
      </w:pPr>
      <w:r>
        <w:rPr>
          <w:sz w:val="24"/>
        </w:rPr>
        <w:t xml:space="preserve">&lt;19&gt; Указывается масса отходов от использования товара, упаковки, подлежащих утилизации в отчетном периоде, с учетом норматива утилизации (М</w:t>
      </w:r>
      <w:r>
        <w:rPr>
          <w:sz w:val="24"/>
          <w:vertAlign w:val="subscript"/>
        </w:rPr>
        <w:t xml:space="preserve">подл.ут.н.</w:t>
      </w:r>
      <w:r>
        <w:rPr>
          <w:sz w:val="24"/>
        </w:rPr>
        <w:t xml:space="preserve">), определяемая как произведение значений М</w:t>
      </w:r>
      <w:r>
        <w:rPr>
          <w:sz w:val="24"/>
          <w:vertAlign w:val="subscript"/>
        </w:rPr>
        <w:t xml:space="preserve">обяз.т.</w:t>
      </w:r>
      <w:r>
        <w:rPr>
          <w:sz w:val="24"/>
        </w:rPr>
        <w:t xml:space="preserve"> </w:t>
      </w:r>
      <w:hyperlink w:history="0" w:anchor="P330" w:tooltip="19">
        <w:r>
          <w:rPr>
            <w:sz w:val="24"/>
            <w:color w:val="0000ff"/>
          </w:rPr>
          <w:t xml:space="preserve">(графа 19)</w:t>
        </w:r>
      </w:hyperlink>
      <w:r>
        <w:rPr>
          <w:sz w:val="24"/>
        </w:rPr>
        <w:t xml:space="preserve"> и N </w:t>
      </w:r>
      <w:hyperlink w:history="0" w:anchor="P331" w:tooltip="20">
        <w:r>
          <w:rPr>
            <w:sz w:val="24"/>
            <w:color w:val="0000ff"/>
          </w:rPr>
          <w:t xml:space="preserve">(графа 20)</w:t>
        </w:r>
      </w:hyperlink>
      <w:r>
        <w:rPr>
          <w:sz w:val="24"/>
        </w:rPr>
        <w:t xml:space="preserve">, деленное на 100. Строка графы 21 заполняется автоматически при использовании интерактивных форм отчетности.</w:t>
      </w:r>
    </w:p>
    <w:bookmarkStart w:id="508" w:name="P508"/>
    <w:bookmarkEnd w:id="508"/>
    <w:p>
      <w:pPr>
        <w:pStyle w:val="0"/>
        <w:spacing w:before="240" w:lineRule="auto"/>
        <w:ind w:firstLine="540"/>
        <w:jc w:val="both"/>
      </w:pPr>
      <w:r>
        <w:rPr>
          <w:sz w:val="24"/>
        </w:rPr>
        <w:t xml:space="preserve">&lt;20&gt; Указывается масса отходов от использования товара, упаковки, в отношении которых в период с 1 сентября 2024 г. по 1 сентября 2025 г. в отчетном году уплачен экологический сбор в соответствии с </w:t>
      </w:r>
      <w:r>
        <w:rPr>
          <w:sz w:val="24"/>
        </w:rPr>
        <w:t xml:space="preserve">пунктом 10 статьи 24.2-1</w:t>
      </w:r>
      <w:r>
        <w:rPr>
          <w:sz w:val="24"/>
        </w:rPr>
        <w:t xml:space="preserve"> Федерального закона "Об отходах производства и потребления" (М</w:t>
      </w:r>
      <w:r>
        <w:rPr>
          <w:sz w:val="24"/>
          <w:vertAlign w:val="subscript"/>
        </w:rPr>
        <w:t xml:space="preserve">упл.эс.т.</w:t>
      </w:r>
      <w:r>
        <w:rPr>
          <w:sz w:val="24"/>
        </w:rPr>
        <w:t xml:space="preserve">).</w:t>
      </w:r>
    </w:p>
    <w:bookmarkStart w:id="509" w:name="P509"/>
    <w:bookmarkEnd w:id="509"/>
    <w:p>
      <w:pPr>
        <w:pStyle w:val="0"/>
        <w:spacing w:before="240" w:lineRule="auto"/>
        <w:ind w:firstLine="540"/>
        <w:jc w:val="both"/>
      </w:pPr>
      <w:r>
        <w:rPr>
          <w:sz w:val="24"/>
        </w:rPr>
        <w:t xml:space="preserve">&lt;21&gt; Указываются реквизиты документа (номер, дата) об уплате экологического сбора, уплаченного в качестве обеспечения утилизации отходов от использования товара, упаковки, сведения о которых указаны в строках </w:t>
      </w:r>
      <w:hyperlink w:history="0" w:anchor="P271" w:tooltip="2">
        <w:r>
          <w:rPr>
            <w:sz w:val="24"/>
            <w:color w:val="0000ff"/>
          </w:rPr>
          <w:t xml:space="preserve">граф 2</w:t>
        </w:r>
      </w:hyperlink>
      <w:r>
        <w:rPr>
          <w:sz w:val="24"/>
        </w:rPr>
        <w:t xml:space="preserve"> - </w:t>
      </w:r>
      <w:hyperlink w:history="0" w:anchor="P273" w:tooltip="4">
        <w:r>
          <w:rPr>
            <w:sz w:val="24"/>
            <w:color w:val="0000ff"/>
          </w:rPr>
          <w:t xml:space="preserve">4</w:t>
        </w:r>
      </w:hyperlink>
      <w:r>
        <w:rPr>
          <w:sz w:val="24"/>
        </w:rPr>
        <w:t xml:space="preserve">, в период с 1 сентября 2024 г. по 1 сентября 2025 г. в отчетном году в соответствии с </w:t>
      </w:r>
      <w:r>
        <w:rPr>
          <w:sz w:val="24"/>
        </w:rPr>
        <w:t xml:space="preserve">пунктом 10 статьи 24.2-1</w:t>
      </w:r>
      <w:r>
        <w:rPr>
          <w:sz w:val="24"/>
        </w:rPr>
        <w:t xml:space="preserve"> Федерального закона "Об отходах производства и потребления".</w:t>
      </w:r>
    </w:p>
    <w:bookmarkStart w:id="510" w:name="P510"/>
    <w:bookmarkEnd w:id="510"/>
    <w:p>
      <w:pPr>
        <w:pStyle w:val="0"/>
        <w:spacing w:before="240" w:lineRule="auto"/>
        <w:ind w:firstLine="540"/>
        <w:jc w:val="both"/>
      </w:pPr>
      <w:r>
        <w:rPr>
          <w:sz w:val="24"/>
        </w:rPr>
        <w:t xml:space="preserve">&lt;22&gt; Указывается масса отходов от использования товара, упаковки, в отношении которых сохраняется обязанность обеспечить утилизацию, определяется как разница значений М</w:t>
      </w:r>
      <w:r>
        <w:rPr>
          <w:sz w:val="24"/>
          <w:vertAlign w:val="subscript"/>
        </w:rPr>
        <w:t xml:space="preserve">подл.ут.н.</w:t>
      </w:r>
      <w:r>
        <w:rPr>
          <w:sz w:val="24"/>
        </w:rPr>
        <w:t xml:space="preserve"> </w:t>
      </w:r>
      <w:hyperlink w:history="0" w:anchor="P332" w:tooltip="21">
        <w:r>
          <w:rPr>
            <w:sz w:val="24"/>
            <w:color w:val="0000ff"/>
          </w:rPr>
          <w:t xml:space="preserve">(графа 21)</w:t>
        </w:r>
      </w:hyperlink>
      <w:r>
        <w:rPr>
          <w:sz w:val="24"/>
        </w:rPr>
        <w:t xml:space="preserve"> и М</w:t>
      </w:r>
      <w:r>
        <w:rPr>
          <w:sz w:val="24"/>
          <w:vertAlign w:val="subscript"/>
        </w:rPr>
        <w:t xml:space="preserve">упл.эс.т.</w:t>
      </w:r>
      <w:r>
        <w:rPr>
          <w:sz w:val="24"/>
        </w:rPr>
        <w:t xml:space="preserve"> </w:t>
      </w:r>
      <w:hyperlink w:history="0" w:anchor="P333" w:tooltip="22">
        <w:r>
          <w:rPr>
            <w:sz w:val="24"/>
            <w:color w:val="0000ff"/>
          </w:rPr>
          <w:t xml:space="preserve">(графа 22)</w:t>
        </w:r>
      </w:hyperlink>
      <w:r>
        <w:rPr>
          <w:sz w:val="24"/>
        </w:rPr>
        <w:t xml:space="preserve">. Строка </w:t>
      </w:r>
      <w:hyperlink w:history="0" w:anchor="P335" w:tooltip="24">
        <w:r>
          <w:rPr>
            <w:sz w:val="24"/>
            <w:color w:val="0000ff"/>
          </w:rPr>
          <w:t xml:space="preserve">графы 24</w:t>
        </w:r>
      </w:hyperlink>
      <w:r>
        <w:rPr>
          <w:sz w:val="24"/>
        </w:rPr>
        <w:t xml:space="preserve"> заполняется автоматически при использовании интерактивных форм отчетности.</w:t>
      </w:r>
    </w:p>
    <w:bookmarkStart w:id="511" w:name="P511"/>
    <w:bookmarkEnd w:id="511"/>
    <w:p>
      <w:pPr>
        <w:pStyle w:val="0"/>
        <w:spacing w:before="240" w:lineRule="auto"/>
        <w:ind w:firstLine="540"/>
        <w:jc w:val="both"/>
      </w:pPr>
      <w:r>
        <w:rPr>
          <w:sz w:val="24"/>
        </w:rPr>
        <w:t xml:space="preserve">&lt;23&gt; Строка </w:t>
      </w:r>
      <w:hyperlink w:history="0" w:anchor="P336" w:tooltip="25">
        <w:r>
          <w:rPr>
            <w:sz w:val="24"/>
            <w:color w:val="0000ff"/>
          </w:rPr>
          <w:t xml:space="preserve">графы 25 таблицы 1</w:t>
        </w:r>
      </w:hyperlink>
      <w:r>
        <w:rPr>
          <w:sz w:val="24"/>
        </w:rPr>
        <w:t xml:space="preserve"> и строка </w:t>
      </w:r>
      <w:hyperlink w:history="0" w:anchor="P444" w:tooltip="20">
        <w:r>
          <w:rPr>
            <w:sz w:val="24"/>
            <w:color w:val="0000ff"/>
          </w:rPr>
          <w:t xml:space="preserve">графы 20 таблицы 2</w:t>
        </w:r>
      </w:hyperlink>
      <w:r>
        <w:rPr>
          <w:sz w:val="24"/>
        </w:rPr>
        <w:t xml:space="preserve"> заполняются при необходимости (на усмотрение импортера товара в случае необходимости представления разъяснений, дополнений и т.п.).</w:t>
      </w:r>
    </w:p>
    <w:bookmarkStart w:id="512" w:name="P512"/>
    <w:bookmarkEnd w:id="512"/>
    <w:p>
      <w:pPr>
        <w:pStyle w:val="0"/>
        <w:spacing w:before="240" w:lineRule="auto"/>
        <w:ind w:firstLine="540"/>
        <w:jc w:val="both"/>
      </w:pPr>
      <w:r>
        <w:rPr>
          <w:sz w:val="24"/>
        </w:rPr>
        <w:t xml:space="preserve">&lt;24&gt; В </w:t>
      </w:r>
      <w:hyperlink w:history="0" w:anchor="P370" w:tooltip="Таблица 2">
        <w:r>
          <w:rPr>
            <w:sz w:val="24"/>
            <w:color w:val="0000ff"/>
          </w:rPr>
          <w:t xml:space="preserve">таблице 2</w:t>
        </w:r>
      </w:hyperlink>
      <w:r>
        <w:rPr>
          <w:sz w:val="24"/>
        </w:rPr>
        <w:t xml:space="preserve"> указываются номер и наименование группы упаковки товаров в соответствии с </w:t>
      </w:r>
      <w:r>
        <w:rPr>
          <w:sz w:val="24"/>
        </w:rPr>
        <w:t xml:space="preserve">разделом III</w:t>
      </w:r>
      <w:r>
        <w:rPr>
          <w:sz w:val="24"/>
        </w:rPr>
        <w:t xml:space="preserve"> перечней товаров, упаковки, а затем построчно позиции по упаковке товара - по каждому наименованию упаковки из указанных перечней, идентифицируемой по материалу, из которого сделана упаковка товара (для упаковки товаров из комбинированных материалов - по основному материалу по массе в композиции) и дополнительно по виду материала упаковки - отдельными строками </w:t>
      </w:r>
      <w:hyperlink w:history="0" w:anchor="P388" w:tooltip="2">
        <w:r>
          <w:rPr>
            <w:sz w:val="24"/>
            <w:color w:val="0000ff"/>
          </w:rPr>
          <w:t xml:space="preserve">(графа 2)</w:t>
        </w:r>
      </w:hyperlink>
      <w:r>
        <w:rPr>
          <w:sz w:val="24"/>
        </w:rPr>
        <w:t xml:space="preserve">.</w:t>
      </w:r>
    </w:p>
    <w:bookmarkStart w:id="513" w:name="P513"/>
    <w:bookmarkEnd w:id="513"/>
    <w:p>
      <w:pPr>
        <w:pStyle w:val="0"/>
        <w:spacing w:before="240" w:lineRule="auto"/>
        <w:ind w:firstLine="540"/>
        <w:jc w:val="both"/>
      </w:pPr>
      <w:r>
        <w:rPr>
          <w:sz w:val="24"/>
        </w:rPr>
        <w:t xml:space="preserve">&lt;25&gt; Строки </w:t>
      </w:r>
      <w:hyperlink w:history="0" w:anchor="P389" w:tooltip="3">
        <w:r>
          <w:rPr>
            <w:sz w:val="24"/>
            <w:color w:val="0000ff"/>
          </w:rPr>
          <w:t xml:space="preserve">граф 3</w:t>
        </w:r>
      </w:hyperlink>
      <w:r>
        <w:rPr>
          <w:sz w:val="24"/>
        </w:rPr>
        <w:t xml:space="preserve"> - </w:t>
      </w:r>
      <w:hyperlink w:history="0" w:anchor="P392" w:tooltip="6">
        <w:r>
          <w:rPr>
            <w:sz w:val="24"/>
            <w:color w:val="0000ff"/>
          </w:rPr>
          <w:t xml:space="preserve">6</w:t>
        </w:r>
      </w:hyperlink>
      <w:r>
        <w:rPr>
          <w:sz w:val="24"/>
        </w:rPr>
        <w:t xml:space="preserve"> заполняются импортером товара в зависимости от маркировки упаковки ввозимого товара в упаковке, позволяющей импортеру товара идентифицировать упаковку товара по буквенному обозначению и цифровому коду упаковки по техническому </w:t>
      </w:r>
      <w:r>
        <w:rPr>
          <w:sz w:val="24"/>
        </w:rPr>
        <w:t xml:space="preserve">регламенту</w:t>
      </w:r>
      <w:r>
        <w:rPr>
          <w:sz w:val="24"/>
        </w:rPr>
        <w:t xml:space="preserve"> Таможенного союза "О безопасности упаковки" (ТР ТС 005/2011), и (или) по коду по Общероссийскому </w:t>
      </w:r>
      <w:r>
        <w:rPr>
          <w:sz w:val="24"/>
        </w:rPr>
        <w:t xml:space="preserve">классификатору</w:t>
      </w:r>
      <w:r>
        <w:rPr>
          <w:sz w:val="24"/>
        </w:rPr>
        <w:t xml:space="preserve"> продукции по видам экономической деятельности ОК 034-2014 (КПЕС 2008), и (или) по коду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w:t>
      </w:r>
    </w:p>
    <w:bookmarkStart w:id="514" w:name="P514"/>
    <w:bookmarkEnd w:id="514"/>
    <w:p>
      <w:pPr>
        <w:pStyle w:val="0"/>
        <w:spacing w:before="240" w:lineRule="auto"/>
        <w:ind w:firstLine="540"/>
        <w:jc w:val="both"/>
      </w:pPr>
      <w:r>
        <w:rPr>
          <w:sz w:val="24"/>
        </w:rPr>
        <w:t xml:space="preserve">&lt;26&gt; Указывается общая масса упаковки, отходы от использования которой подлежат утилизации и в которую упакован товар, ввезенный в течение отчетного года на территорию Российской Федерации из государств, не являющихся членами Евразийского экономического союза (М</w:t>
      </w:r>
      <w:r>
        <w:rPr>
          <w:sz w:val="24"/>
          <w:vertAlign w:val="subscript"/>
        </w:rPr>
        <w:t xml:space="preserve">уп.</w:t>
      </w:r>
      <w:r>
        <w:rPr>
          <w:sz w:val="24"/>
        </w:rPr>
        <w:t xml:space="preserve">), определяемая как сумма значений в строках </w:t>
      </w:r>
      <w:hyperlink w:history="0" w:anchor="P394" w:tooltip="8">
        <w:r>
          <w:rPr>
            <w:sz w:val="24"/>
            <w:color w:val="0000ff"/>
          </w:rPr>
          <w:t xml:space="preserve">граф 8</w:t>
        </w:r>
      </w:hyperlink>
      <w:r>
        <w:rPr>
          <w:sz w:val="24"/>
        </w:rPr>
        <w:t xml:space="preserve"> и </w:t>
      </w:r>
      <w:hyperlink w:history="0" w:anchor="P395" w:tooltip="9">
        <w:r>
          <w:rPr>
            <w:sz w:val="24"/>
            <w:color w:val="0000ff"/>
          </w:rPr>
          <w:t xml:space="preserve">9</w:t>
        </w:r>
      </w:hyperlink>
      <w:r>
        <w:rPr>
          <w:sz w:val="24"/>
        </w:rPr>
        <w:t xml:space="preserve">.</w:t>
      </w:r>
    </w:p>
    <w:bookmarkStart w:id="515" w:name="P515"/>
    <w:bookmarkEnd w:id="515"/>
    <w:p>
      <w:pPr>
        <w:pStyle w:val="0"/>
        <w:spacing w:before="240" w:lineRule="auto"/>
        <w:ind w:firstLine="540"/>
        <w:jc w:val="both"/>
      </w:pPr>
      <w:r>
        <w:rPr>
          <w:sz w:val="24"/>
        </w:rPr>
        <w:t xml:space="preserve">&lt;27&gt; Указывается общая масса упаковки, отходы от использования которой подлежат утилизации и в которую упакован товар, ввезенный с 1 января по 31 августа 2024 г. (в случае подачи настоящей отчетности за 2024 год) и с 1 сентября по 31 декабря 2025 г. (в случае подачи настоящей отчетности за 2025 год) на территорию Российской Федерации, а также упаковки, в которую упакован товар, ввезенной в период с 1 сентября 2024 г. по 1 сентября 2025 г. и не включенной в перечень эксперимента.</w:t>
      </w:r>
    </w:p>
    <w:bookmarkStart w:id="516" w:name="P516"/>
    <w:bookmarkEnd w:id="516"/>
    <w:p>
      <w:pPr>
        <w:pStyle w:val="0"/>
        <w:spacing w:before="240" w:lineRule="auto"/>
        <w:ind w:firstLine="540"/>
        <w:jc w:val="both"/>
      </w:pPr>
      <w:r>
        <w:rPr>
          <w:sz w:val="24"/>
        </w:rPr>
        <w:t xml:space="preserve">&lt;28&gt; Указывается общая масса упаковки, отходы от использования которой подлежат утилизации и в которую упакован товар, включенный в перечень эксперимента, ввезенный на территорию Российской Федерации в период с 1 сентября 2024 г. по 1 сентября 2025 г., определяемая как сумма значений массы упаковки товаров, ввезенных в упаковке (без норматива утилизации), указанных в строке </w:t>
      </w:r>
      <w:hyperlink w:history="0" w:anchor="P393" w:tooltip="7">
        <w:r>
          <w:rPr>
            <w:sz w:val="24"/>
            <w:color w:val="0000ff"/>
          </w:rPr>
          <w:t xml:space="preserve">графы 7 таблицы 2 раздела II</w:t>
        </w:r>
      </w:hyperlink>
      <w:r>
        <w:rPr>
          <w:sz w:val="24"/>
        </w:rPr>
        <w:t xml:space="preserve"> отчетности о массе товаров, упаковки, ввезенных из государств, не являющихся членами Евразийского экономического союза, по форме согласно </w:t>
      </w:r>
      <w:r>
        <w:rPr>
          <w:sz w:val="24"/>
        </w:rPr>
        <w:t xml:space="preserve">приложению N 2</w:t>
      </w:r>
      <w:r>
        <w:rPr>
          <w:sz w:val="24"/>
        </w:rPr>
        <w:t xml:space="preserve"> к Правилам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утвержденным постановлением Правительства Российской Федерации от 31 мая 2024 г. N 741 "Об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w:t>
      </w:r>
    </w:p>
    <w:bookmarkStart w:id="517" w:name="P517"/>
    <w:bookmarkEnd w:id="517"/>
    <w:p>
      <w:pPr>
        <w:pStyle w:val="0"/>
        <w:spacing w:before="240" w:lineRule="auto"/>
        <w:ind w:firstLine="540"/>
        <w:jc w:val="both"/>
      </w:pPr>
      <w:r>
        <w:rPr>
          <w:sz w:val="24"/>
        </w:rPr>
        <w:t xml:space="preserve">&lt;29&gt; Указывается масса упаковки, отходы от использования которой подлежат утилизации и в которую упакован товар, ввезенный в отчетном периоде на территорию Российской Федерации, и которая вывезена в отчетном периоде из Российской Федерации (М</w:t>
      </w:r>
      <w:r>
        <w:rPr>
          <w:sz w:val="24"/>
          <w:vertAlign w:val="subscript"/>
        </w:rPr>
        <w:t xml:space="preserve">выв.уп.</w:t>
      </w:r>
      <w:r>
        <w:rPr>
          <w:sz w:val="24"/>
        </w:rPr>
        <w:t xml:space="preserve">). Заполняется на основании таможенных документов и (или) на основании документов, полученных от других лиц (контрагентов) при осуществлении коммерческой деятельности, в случае, если вывоз упаковки подтвержден в порядке, установленном Правительством Российской Федерации в соответствии с </w:t>
      </w:r>
      <w:r>
        <w:rPr>
          <w:sz w:val="24"/>
        </w:rPr>
        <w:t xml:space="preserve">пунктом 5 статьи 24.5</w:t>
      </w:r>
      <w:r>
        <w:rPr>
          <w:sz w:val="24"/>
        </w:rPr>
        <w:t xml:space="preserve"> Федерального закона "Об отходах производства и потребления". В отношении упаковки строка </w:t>
      </w:r>
      <w:hyperlink w:history="0" w:anchor="P279" w:tooltip="10">
        <w:r>
          <w:rPr>
            <w:sz w:val="24"/>
            <w:color w:val="0000ff"/>
          </w:rPr>
          <w:t xml:space="preserve">графы 10</w:t>
        </w:r>
      </w:hyperlink>
      <w:r>
        <w:rPr>
          <w:sz w:val="24"/>
        </w:rPr>
        <w:t xml:space="preserve"> графа заполняется как в случае, если упаковка вывозилась в качестве товара, так и в случае вывоза товара, который был помещен в данную упаковку. В случае отсутствия информации и документов (в том числе полученных от других лиц (контрагентов), подтверждающих вывоз с территории Российской Федерации упаковки, сведения о которой указаны в строках </w:t>
      </w:r>
      <w:hyperlink w:history="0" w:anchor="P389" w:tooltip="3">
        <w:r>
          <w:rPr>
            <w:sz w:val="24"/>
            <w:color w:val="0000ff"/>
          </w:rPr>
          <w:t xml:space="preserve">граф 3</w:t>
        </w:r>
      </w:hyperlink>
      <w:r>
        <w:rPr>
          <w:sz w:val="24"/>
        </w:rPr>
        <w:t xml:space="preserve"> - </w:t>
      </w:r>
      <w:hyperlink w:history="0" w:anchor="P392" w:tooltip="6">
        <w:r>
          <w:rPr>
            <w:sz w:val="24"/>
            <w:color w:val="0000ff"/>
          </w:rPr>
          <w:t xml:space="preserve">6</w:t>
        </w:r>
      </w:hyperlink>
      <w:r>
        <w:rPr>
          <w:sz w:val="24"/>
        </w:rPr>
        <w:t xml:space="preserve">, в строке </w:t>
      </w:r>
      <w:hyperlink w:history="0" w:anchor="P279" w:tooltip="10">
        <w:r>
          <w:rPr>
            <w:sz w:val="24"/>
            <w:color w:val="0000ff"/>
          </w:rPr>
          <w:t xml:space="preserve">графы 10</w:t>
        </w:r>
      </w:hyperlink>
      <w:r>
        <w:rPr>
          <w:sz w:val="24"/>
        </w:rPr>
        <w:t xml:space="preserve"> ставится значение "0".</w:t>
      </w:r>
    </w:p>
    <w:bookmarkStart w:id="518" w:name="P518"/>
    <w:bookmarkEnd w:id="518"/>
    <w:p>
      <w:pPr>
        <w:pStyle w:val="0"/>
        <w:spacing w:before="240" w:lineRule="auto"/>
        <w:ind w:firstLine="540"/>
        <w:jc w:val="both"/>
      </w:pPr>
      <w:r>
        <w:rPr>
          <w:sz w:val="24"/>
        </w:rPr>
        <w:t xml:space="preserve">&lt;30&gt; Указывается масса упаковки, в отношении отходов от использования которой обязанность по утилизации наступила в предыдущие отчетные периоды, в отношении которой в предыдущие отчетные периоды был уплачен экологический сбор и которая вывезена в отчетном периоде из Российской Федерации (М</w:t>
      </w:r>
      <w:r>
        <w:rPr>
          <w:sz w:val="24"/>
          <w:vertAlign w:val="subscript"/>
        </w:rPr>
        <w:t xml:space="preserve">пред.выв.уп.</w:t>
      </w:r>
      <w:r>
        <w:rPr>
          <w:sz w:val="24"/>
        </w:rPr>
        <w:t xml:space="preserve">). Заполняется на основании таможенных документов и (или) на основании документов, полученных от других лиц (контрагентов) при осуществлении коммерческой деятельности, в случае, если вывоз упаковки подтвержден в порядке, утверждаемом Правительством Российской Федерации в соответствии с </w:t>
      </w:r>
      <w:r>
        <w:rPr>
          <w:sz w:val="24"/>
        </w:rPr>
        <w:t xml:space="preserve">пунктом 5 статьи 24.5</w:t>
      </w:r>
      <w:r>
        <w:rPr>
          <w:sz w:val="24"/>
        </w:rPr>
        <w:t xml:space="preserve"> Федерального закона "Об отходах производства и потребления". В отношении упаковки строка </w:t>
      </w:r>
      <w:hyperlink w:history="0" w:anchor="P280" w:tooltip="11">
        <w:r>
          <w:rPr>
            <w:sz w:val="24"/>
            <w:color w:val="0000ff"/>
          </w:rPr>
          <w:t xml:space="preserve">графы 11</w:t>
        </w:r>
      </w:hyperlink>
      <w:r>
        <w:rPr>
          <w:sz w:val="24"/>
        </w:rPr>
        <w:t xml:space="preserve"> заполняется как в случае, если упаковка вывозилась в качестве товара, так и в случае вывоза товара, который был помещен в данную упаковку. В случае отсутствия информации и документов (в том числе полученных от других лиц (контрагентов), подтверждающих вывоз с территории Российской Федерации упаковки, сведения о которой указаны в строках </w:t>
      </w:r>
      <w:hyperlink w:history="0" w:anchor="P388" w:tooltip="2">
        <w:r>
          <w:rPr>
            <w:sz w:val="24"/>
            <w:color w:val="0000ff"/>
          </w:rPr>
          <w:t xml:space="preserve">граф 2</w:t>
        </w:r>
      </w:hyperlink>
      <w:r>
        <w:rPr>
          <w:sz w:val="24"/>
        </w:rPr>
        <w:t xml:space="preserve"> - </w:t>
      </w:r>
      <w:hyperlink w:history="0" w:anchor="P392" w:tooltip="6">
        <w:r>
          <w:rPr>
            <w:sz w:val="24"/>
            <w:color w:val="0000ff"/>
          </w:rPr>
          <w:t xml:space="preserve">6</w:t>
        </w:r>
      </w:hyperlink>
      <w:r>
        <w:rPr>
          <w:sz w:val="24"/>
        </w:rPr>
        <w:t xml:space="preserve">, в строке </w:t>
      </w:r>
      <w:hyperlink w:history="0" w:anchor="P280" w:tooltip="11">
        <w:r>
          <w:rPr>
            <w:sz w:val="24"/>
            <w:color w:val="0000ff"/>
          </w:rPr>
          <w:t xml:space="preserve">графы 11</w:t>
        </w:r>
      </w:hyperlink>
      <w:r>
        <w:rPr>
          <w:sz w:val="24"/>
        </w:rPr>
        <w:t xml:space="preserve"> ставится значение "0".</w:t>
      </w:r>
    </w:p>
    <w:bookmarkStart w:id="519" w:name="P519"/>
    <w:bookmarkEnd w:id="519"/>
    <w:p>
      <w:pPr>
        <w:pStyle w:val="0"/>
        <w:spacing w:before="240" w:lineRule="auto"/>
        <w:ind w:firstLine="540"/>
        <w:jc w:val="both"/>
      </w:pPr>
      <w:r>
        <w:rPr>
          <w:sz w:val="24"/>
        </w:rPr>
        <w:t xml:space="preserve">&lt;31&gt; В строке </w:t>
      </w:r>
      <w:hyperlink w:history="0" w:anchor="P398" w:tooltip="12">
        <w:r>
          <w:rPr>
            <w:sz w:val="24"/>
            <w:color w:val="0000ff"/>
          </w:rPr>
          <w:t xml:space="preserve">графы 12</w:t>
        </w:r>
      </w:hyperlink>
      <w:r>
        <w:rPr>
          <w:sz w:val="24"/>
        </w:rPr>
        <w:t xml:space="preserve"> отражается наименование юридического лица или фамилия, имя, отчество (при наличии) физического лица, являющегося индивидуальным предпринимателем, который осуществил вывоз упаковки, его идентификационный номер налогоплательщика и основной государственный регистрационный номер либо указывается "самостоятельно", если вывоз осуществлялся импортером товара. Заполняется в случае, если в отчетном периоде определенная масса упаковки, сведения о которой указаны в строках </w:t>
      </w:r>
      <w:hyperlink w:history="0" w:anchor="P388" w:tooltip="2">
        <w:r>
          <w:rPr>
            <w:sz w:val="24"/>
            <w:color w:val="0000ff"/>
          </w:rPr>
          <w:t xml:space="preserve">граф 2</w:t>
        </w:r>
      </w:hyperlink>
      <w:r>
        <w:rPr>
          <w:sz w:val="24"/>
        </w:rPr>
        <w:t xml:space="preserve"> - </w:t>
      </w:r>
      <w:hyperlink w:history="0" w:anchor="P392" w:tooltip="6">
        <w:r>
          <w:rPr>
            <w:sz w:val="24"/>
            <w:color w:val="0000ff"/>
          </w:rPr>
          <w:t xml:space="preserve">6</w:t>
        </w:r>
      </w:hyperlink>
      <w:r>
        <w:rPr>
          <w:sz w:val="24"/>
        </w:rPr>
        <w:t xml:space="preserve">, вывозилась из Российской Федерации.</w:t>
      </w:r>
    </w:p>
    <w:bookmarkStart w:id="520" w:name="P520"/>
    <w:bookmarkEnd w:id="520"/>
    <w:p>
      <w:pPr>
        <w:pStyle w:val="0"/>
        <w:spacing w:before="240" w:lineRule="auto"/>
        <w:ind w:firstLine="540"/>
        <w:jc w:val="both"/>
      </w:pPr>
      <w:r>
        <w:rPr>
          <w:sz w:val="24"/>
        </w:rPr>
        <w:t xml:space="preserve">&lt;32&gt; В строке </w:t>
      </w:r>
      <w:hyperlink w:history="0" w:anchor="P399" w:tooltip="13">
        <w:r>
          <w:rPr>
            <w:sz w:val="24"/>
            <w:color w:val="0000ff"/>
          </w:rPr>
          <w:t xml:space="preserve">графы 13</w:t>
        </w:r>
      </w:hyperlink>
      <w:r>
        <w:rPr>
          <w:sz w:val="24"/>
        </w:rPr>
        <w:t xml:space="preserve"> отражаются реквизиты (номер, дата) документов, подтверждающих вывоз с территории Российской Федерации упаковки, в случае, если в отчетном периоде определенная масса упаковки, сведения о которой указаны в строках </w:t>
      </w:r>
      <w:hyperlink w:history="0" w:anchor="P388" w:tooltip="2">
        <w:r>
          <w:rPr>
            <w:sz w:val="24"/>
            <w:color w:val="0000ff"/>
          </w:rPr>
          <w:t xml:space="preserve">граф 2</w:t>
        </w:r>
      </w:hyperlink>
      <w:r>
        <w:rPr>
          <w:sz w:val="24"/>
        </w:rPr>
        <w:t xml:space="preserve"> - </w:t>
      </w:r>
      <w:hyperlink w:history="0" w:anchor="P392" w:tooltip="6">
        <w:r>
          <w:rPr>
            <w:sz w:val="24"/>
            <w:color w:val="0000ff"/>
          </w:rPr>
          <w:t xml:space="preserve">6</w:t>
        </w:r>
      </w:hyperlink>
      <w:r>
        <w:rPr>
          <w:sz w:val="24"/>
        </w:rPr>
        <w:t xml:space="preserve">, вывозилась из Российской Федерации.</w:t>
      </w:r>
    </w:p>
    <w:bookmarkStart w:id="521" w:name="P521"/>
    <w:bookmarkEnd w:id="521"/>
    <w:p>
      <w:pPr>
        <w:pStyle w:val="0"/>
        <w:spacing w:before="240" w:lineRule="auto"/>
        <w:ind w:firstLine="540"/>
        <w:jc w:val="both"/>
      </w:pPr>
      <w:r>
        <w:rPr>
          <w:sz w:val="24"/>
        </w:rPr>
        <w:t xml:space="preserve">&lt;33&gt; Указывается масса упаковки товаров, в отношении отходов от использования которой возникает обязанность обеспечить утилизацию (без учета норматива утилизации) (М</w:t>
      </w:r>
      <w:r>
        <w:rPr>
          <w:sz w:val="24"/>
          <w:vertAlign w:val="subscript"/>
        </w:rPr>
        <w:t xml:space="preserve">обяз.уп.</w:t>
      </w:r>
      <w:r>
        <w:rPr>
          <w:sz w:val="24"/>
        </w:rPr>
        <w:t xml:space="preserve">), определяется как разница между значениями М</w:t>
      </w:r>
      <w:r>
        <w:rPr>
          <w:sz w:val="24"/>
          <w:vertAlign w:val="subscript"/>
        </w:rPr>
        <w:t xml:space="preserve">уп.</w:t>
      </w:r>
      <w:r>
        <w:rPr>
          <w:sz w:val="24"/>
        </w:rPr>
        <w:t xml:space="preserve"> </w:t>
      </w:r>
      <w:hyperlink w:history="0" w:anchor="P393" w:tooltip="7">
        <w:r>
          <w:rPr>
            <w:sz w:val="24"/>
            <w:color w:val="0000ff"/>
          </w:rPr>
          <w:t xml:space="preserve">(графа 7)</w:t>
        </w:r>
      </w:hyperlink>
      <w:r>
        <w:rPr>
          <w:sz w:val="24"/>
        </w:rPr>
        <w:t xml:space="preserve"> и М</w:t>
      </w:r>
      <w:r>
        <w:rPr>
          <w:sz w:val="24"/>
          <w:vertAlign w:val="subscript"/>
        </w:rPr>
        <w:t xml:space="preserve">выв.уп.</w:t>
      </w:r>
      <w:r>
        <w:rPr>
          <w:sz w:val="24"/>
        </w:rPr>
        <w:t xml:space="preserve"> </w:t>
      </w:r>
      <w:hyperlink w:history="0" w:anchor="P396" w:tooltip="10">
        <w:r>
          <w:rPr>
            <w:sz w:val="24"/>
            <w:color w:val="0000ff"/>
          </w:rPr>
          <w:t xml:space="preserve">(графа 10)</w:t>
        </w:r>
      </w:hyperlink>
      <w:r>
        <w:rPr>
          <w:sz w:val="24"/>
        </w:rPr>
        <w:t xml:space="preserve">. Строка </w:t>
      </w:r>
      <w:hyperlink w:history="0" w:anchor="P325" w:tooltip="14">
        <w:r>
          <w:rPr>
            <w:sz w:val="24"/>
            <w:color w:val="0000ff"/>
          </w:rPr>
          <w:t xml:space="preserve">графы 14</w:t>
        </w:r>
      </w:hyperlink>
      <w:r>
        <w:rPr>
          <w:sz w:val="24"/>
        </w:rPr>
        <w:t xml:space="preserve"> заполняется автоматически при использовании интерактивных форм отчетности. При расчете данного показателя не учитывается значение М</w:t>
      </w:r>
      <w:r>
        <w:rPr>
          <w:sz w:val="24"/>
          <w:vertAlign w:val="subscript"/>
        </w:rPr>
        <w:t xml:space="preserve">пред.выв.уп.</w:t>
      </w:r>
      <w:r>
        <w:rPr>
          <w:sz w:val="24"/>
        </w:rPr>
        <w:t xml:space="preserve"> </w:t>
      </w:r>
      <w:hyperlink w:history="0" w:anchor="P397" w:tooltip="11">
        <w:r>
          <w:rPr>
            <w:sz w:val="24"/>
            <w:color w:val="0000ff"/>
          </w:rPr>
          <w:t xml:space="preserve">(графа 11)</w:t>
        </w:r>
      </w:hyperlink>
      <w:r>
        <w:rPr>
          <w:sz w:val="24"/>
        </w:rPr>
        <w:t xml:space="preserve">.</w:t>
      </w:r>
    </w:p>
    <w:bookmarkStart w:id="522" w:name="P522"/>
    <w:bookmarkEnd w:id="522"/>
    <w:p>
      <w:pPr>
        <w:pStyle w:val="0"/>
        <w:spacing w:before="240" w:lineRule="auto"/>
        <w:ind w:firstLine="540"/>
        <w:jc w:val="both"/>
      </w:pPr>
      <w:r>
        <w:rPr>
          <w:sz w:val="24"/>
        </w:rPr>
        <w:t xml:space="preserve">&lt;34&gt; Указывается масса отходов от использования упаковки, подлежащей утилизации в отчетном периоде, с учетом норматива утилизации (М</w:t>
      </w:r>
      <w:r>
        <w:rPr>
          <w:sz w:val="24"/>
          <w:vertAlign w:val="subscript"/>
        </w:rPr>
        <w:t xml:space="preserve">подл.ут.уп.</w:t>
      </w:r>
      <w:r>
        <w:rPr>
          <w:sz w:val="24"/>
        </w:rPr>
        <w:t xml:space="preserve">), определяемая как произведение значений М</w:t>
      </w:r>
      <w:r>
        <w:rPr>
          <w:sz w:val="24"/>
          <w:vertAlign w:val="subscript"/>
        </w:rPr>
        <w:t xml:space="preserve">обяз.уп.</w:t>
      </w:r>
      <w:r>
        <w:rPr>
          <w:sz w:val="24"/>
        </w:rPr>
        <w:t xml:space="preserve"> </w:t>
      </w:r>
      <w:hyperlink w:history="0" w:anchor="P438" w:tooltip="14">
        <w:r>
          <w:rPr>
            <w:sz w:val="24"/>
            <w:color w:val="0000ff"/>
          </w:rPr>
          <w:t xml:space="preserve">(графа 14)</w:t>
        </w:r>
      </w:hyperlink>
      <w:r>
        <w:rPr>
          <w:sz w:val="24"/>
        </w:rPr>
        <w:t xml:space="preserve"> и N </w:t>
      </w:r>
      <w:hyperlink w:history="0" w:anchor="P439" w:tooltip="15">
        <w:r>
          <w:rPr>
            <w:sz w:val="24"/>
            <w:color w:val="0000ff"/>
          </w:rPr>
          <w:t xml:space="preserve">(графа 15)</w:t>
        </w:r>
      </w:hyperlink>
      <w:r>
        <w:rPr>
          <w:sz w:val="24"/>
        </w:rPr>
        <w:t xml:space="preserve">, деленное на 100. Строка </w:t>
      </w:r>
      <w:hyperlink w:history="0" w:anchor="P440" w:tooltip="16">
        <w:r>
          <w:rPr>
            <w:sz w:val="24"/>
            <w:color w:val="0000ff"/>
          </w:rPr>
          <w:t xml:space="preserve">графы 16</w:t>
        </w:r>
      </w:hyperlink>
      <w:r>
        <w:rPr>
          <w:sz w:val="24"/>
        </w:rPr>
        <w:t xml:space="preserve"> заполняется автоматически при использовании интерактивных форм отчетности.</w:t>
      </w:r>
    </w:p>
    <w:bookmarkStart w:id="523" w:name="P523"/>
    <w:bookmarkEnd w:id="523"/>
    <w:p>
      <w:pPr>
        <w:pStyle w:val="0"/>
        <w:spacing w:before="240" w:lineRule="auto"/>
        <w:ind w:firstLine="540"/>
        <w:jc w:val="both"/>
      </w:pPr>
      <w:r>
        <w:rPr>
          <w:sz w:val="24"/>
        </w:rPr>
        <w:t xml:space="preserve">&lt;35&gt; Указывается масса отходов от использования упаковки, в отношении которой в период с 1 сентября 2024 г. по 1 сентября 2025 г. в отчетном году уплачен экологический сбор в соответствии с </w:t>
      </w:r>
      <w:r>
        <w:rPr>
          <w:sz w:val="24"/>
        </w:rPr>
        <w:t xml:space="preserve">пунктом 10 статьи 24.2-1</w:t>
      </w:r>
      <w:r>
        <w:rPr>
          <w:sz w:val="24"/>
        </w:rPr>
        <w:t xml:space="preserve"> Федерального закона "Об отходах производства и потребления" (М</w:t>
      </w:r>
      <w:r>
        <w:rPr>
          <w:sz w:val="24"/>
          <w:vertAlign w:val="subscript"/>
        </w:rPr>
        <w:t xml:space="preserve">упл.эс.уп.</w:t>
      </w:r>
      <w:r>
        <w:rPr>
          <w:sz w:val="24"/>
        </w:rPr>
        <w:t xml:space="preserve">).</w:t>
      </w:r>
    </w:p>
    <w:bookmarkStart w:id="524" w:name="P524"/>
    <w:bookmarkEnd w:id="524"/>
    <w:p>
      <w:pPr>
        <w:pStyle w:val="0"/>
        <w:spacing w:before="240" w:lineRule="auto"/>
        <w:ind w:firstLine="540"/>
        <w:jc w:val="both"/>
      </w:pPr>
      <w:r>
        <w:rPr>
          <w:sz w:val="24"/>
        </w:rPr>
        <w:t xml:space="preserve">&lt;36&gt; Указываются реквизиты документа (номер, дата) об уплате экологического сбора, уплаченного в качестве обеспечения утилизации отходов от использования упаковки, сведения о которой указаны в строках </w:t>
      </w:r>
      <w:hyperlink w:history="0" w:anchor="P388" w:tooltip="2">
        <w:r>
          <w:rPr>
            <w:sz w:val="24"/>
            <w:color w:val="0000ff"/>
          </w:rPr>
          <w:t xml:space="preserve">граф 2</w:t>
        </w:r>
      </w:hyperlink>
      <w:r>
        <w:rPr>
          <w:sz w:val="24"/>
        </w:rPr>
        <w:t xml:space="preserve"> - </w:t>
      </w:r>
      <w:hyperlink w:history="0" w:anchor="P392" w:tooltip="6">
        <w:r>
          <w:rPr>
            <w:sz w:val="24"/>
            <w:color w:val="0000ff"/>
          </w:rPr>
          <w:t xml:space="preserve">6</w:t>
        </w:r>
      </w:hyperlink>
      <w:r>
        <w:rPr>
          <w:sz w:val="24"/>
        </w:rPr>
        <w:t xml:space="preserve">, в период с 1 сентября 2024 г. по 1 сентября 2025 г. в отчетном году в соответствии с </w:t>
      </w:r>
      <w:r>
        <w:rPr>
          <w:sz w:val="24"/>
        </w:rPr>
        <w:t xml:space="preserve">пунктом 10 статьи 24.2-1</w:t>
      </w:r>
      <w:r>
        <w:rPr>
          <w:sz w:val="24"/>
        </w:rPr>
        <w:t xml:space="preserve"> Федерального закона "Об отходах производства и потребления".</w:t>
      </w:r>
    </w:p>
    <w:bookmarkStart w:id="525" w:name="P525"/>
    <w:bookmarkEnd w:id="525"/>
    <w:p>
      <w:pPr>
        <w:pStyle w:val="0"/>
        <w:spacing w:before="240" w:lineRule="auto"/>
        <w:ind w:firstLine="540"/>
        <w:jc w:val="both"/>
      </w:pPr>
      <w:r>
        <w:rPr>
          <w:sz w:val="24"/>
        </w:rPr>
        <w:t xml:space="preserve">&lt;37&gt; Указывается масса отходов от использования упаковки, в отношении которой сохраняется обязанность обеспечить утилизацию, определяется как разница значений М</w:t>
      </w:r>
      <w:r>
        <w:rPr>
          <w:sz w:val="24"/>
          <w:vertAlign w:val="subscript"/>
        </w:rPr>
        <w:t xml:space="preserve">подл.ут.уп.</w:t>
      </w:r>
      <w:r>
        <w:rPr>
          <w:sz w:val="24"/>
        </w:rPr>
        <w:t xml:space="preserve"> </w:t>
      </w:r>
      <w:hyperlink w:history="0" w:anchor="P440" w:tooltip="16">
        <w:r>
          <w:rPr>
            <w:sz w:val="24"/>
            <w:color w:val="0000ff"/>
          </w:rPr>
          <w:t xml:space="preserve">(графа 16)</w:t>
        </w:r>
      </w:hyperlink>
      <w:r>
        <w:rPr>
          <w:sz w:val="24"/>
        </w:rPr>
        <w:t xml:space="preserve"> и М</w:t>
      </w:r>
      <w:r>
        <w:rPr>
          <w:sz w:val="24"/>
          <w:vertAlign w:val="subscript"/>
        </w:rPr>
        <w:t xml:space="preserve">упл.эс.уп.</w:t>
      </w:r>
      <w:r>
        <w:rPr>
          <w:sz w:val="24"/>
        </w:rPr>
        <w:t xml:space="preserve"> </w:t>
      </w:r>
      <w:hyperlink w:history="0" w:anchor="P441" w:tooltip="17">
        <w:r>
          <w:rPr>
            <w:sz w:val="24"/>
            <w:color w:val="0000ff"/>
          </w:rPr>
          <w:t xml:space="preserve">(графа 17)</w:t>
        </w:r>
      </w:hyperlink>
      <w:r>
        <w:rPr>
          <w:sz w:val="24"/>
        </w:rPr>
        <w:t xml:space="preserve">. Строка </w:t>
      </w:r>
      <w:hyperlink w:history="0" w:anchor="P443" w:tooltip="19">
        <w:r>
          <w:rPr>
            <w:sz w:val="24"/>
            <w:color w:val="0000ff"/>
          </w:rPr>
          <w:t xml:space="preserve">графы 19</w:t>
        </w:r>
      </w:hyperlink>
      <w:r>
        <w:rPr>
          <w:sz w:val="24"/>
        </w:rPr>
        <w:t xml:space="preserve"> заполняется автоматически при использовании интерактивных форм отчетности.</w:t>
      </w:r>
    </w:p>
    <w:bookmarkStart w:id="526" w:name="P526"/>
    <w:bookmarkEnd w:id="526"/>
    <w:p>
      <w:pPr>
        <w:pStyle w:val="0"/>
        <w:spacing w:before="240" w:lineRule="auto"/>
        <w:ind w:firstLine="540"/>
        <w:jc w:val="both"/>
      </w:pPr>
      <w:r>
        <w:rPr>
          <w:sz w:val="24"/>
        </w:rPr>
        <w:t xml:space="preserve">&lt;38&gt; Импортер товара, упаковки прилагает:</w:t>
      </w:r>
    </w:p>
    <w:p>
      <w:pPr>
        <w:pStyle w:val="0"/>
        <w:spacing w:before="240" w:lineRule="auto"/>
        <w:ind w:firstLine="540"/>
        <w:jc w:val="both"/>
      </w:pPr>
      <w:r>
        <w:rPr>
          <w:sz w:val="24"/>
        </w:rPr>
        <w:t xml:space="preserve">копии документов, подтверждающих вывоз товара, упаковки третьими лицами (при наличии);</w:t>
      </w:r>
    </w:p>
    <w:p>
      <w:pPr>
        <w:pStyle w:val="0"/>
        <w:spacing w:before="240" w:lineRule="auto"/>
        <w:ind w:firstLine="540"/>
        <w:jc w:val="both"/>
      </w:pPr>
      <w:r>
        <w:rPr>
          <w:sz w:val="24"/>
        </w:rPr>
        <w:t xml:space="preserve">копии документов, подтверждающих прием и (или) передачу и (или) использование товара (если самостоятельное производство) в качестве сырья, материалов, запасных частей, комплектующих при производстве товаров, включенных в перечни товаров, упаковки, и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w:t>
      </w:r>
      <w:r>
        <w:rPr>
          <w:sz w:val="24"/>
        </w:rPr>
        <w:t xml:space="preserve">пунктом 2 статьи 24.1</w:t>
      </w:r>
      <w:r>
        <w:rPr>
          <w:sz w:val="24"/>
        </w:rPr>
        <w:t xml:space="preserve"> Федерального закона "Об отходах производства и потребления";</w:t>
      </w:r>
    </w:p>
    <w:p>
      <w:pPr>
        <w:pStyle w:val="0"/>
        <w:spacing w:before="240" w:lineRule="auto"/>
        <w:ind w:firstLine="540"/>
        <w:jc w:val="both"/>
      </w:pPr>
      <w:r>
        <w:rPr>
          <w:sz w:val="24"/>
        </w:rPr>
        <w:t xml:space="preserve">копии иных документов по усмотрению импортера товара, упаковки.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Положению о проведении эксперимента</w:t>
      </w:r>
    </w:p>
    <w:p>
      <w:pPr>
        <w:pStyle w:val="0"/>
        <w:jc w:val="right"/>
      </w:pPr>
      <w:r>
        <w:rPr>
          <w:sz w:val="24"/>
        </w:rPr>
        <w:t xml:space="preserve">в отношении отдельных групп товаров,</w:t>
      </w:r>
    </w:p>
    <w:p>
      <w:pPr>
        <w:pStyle w:val="0"/>
        <w:jc w:val="right"/>
      </w:pPr>
      <w:r>
        <w:rPr>
          <w:sz w:val="24"/>
        </w:rPr>
        <w:t xml:space="preserve">в том числе товаров в упаковке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Постановления</w:t>
            </w:r>
            <w:r>
              <w:rPr>
                <w:sz w:val="24"/>
                <w:color w:val="392c69"/>
              </w:rPr>
              <w:t xml:space="preserve"> Правительства РФ от 30.12.2024 N 1990)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544" w:name="P544"/>
          <w:bookmarkEnd w:id="544"/>
          <w:p>
            <w:pPr>
              <w:pStyle w:val="0"/>
              <w:jc w:val="center"/>
            </w:pPr>
            <w:r>
              <w:rPr>
                <w:sz w:val="24"/>
              </w:rPr>
              <w:t xml:space="preserve">ОТЧЕТНОСТЬ</w:t>
            </w:r>
          </w:p>
          <w:p>
            <w:pPr>
              <w:pStyle w:val="0"/>
              <w:jc w:val="center"/>
            </w:pPr>
            <w:r>
              <w:rPr>
                <w:sz w:val="24"/>
              </w:rPr>
              <w:t xml:space="preserve">о выполнении самостоятельной утилизации отходов от использования товаров</w:t>
            </w:r>
          </w:p>
          <w:p>
            <w:pPr>
              <w:pStyle w:val="0"/>
              <w:jc w:val="center"/>
            </w:pPr>
            <w:r>
              <w:rPr>
                <w:sz w:val="24"/>
              </w:rPr>
              <w:t xml:space="preserve">за ____ год</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548" w:name="P548"/>
          <w:bookmarkEnd w:id="548"/>
          <w:p>
            <w:pPr>
              <w:pStyle w:val="0"/>
              <w:outlineLvl w:val="2"/>
              <w:jc w:val="center"/>
            </w:pPr>
            <w:r>
              <w:rPr>
                <w:sz w:val="24"/>
              </w:rPr>
              <w:t xml:space="preserve">Раздел I. Общие сведения </w:t>
            </w:r>
            <w:hyperlink w:history="0" w:anchor="P805" w:tooltip="&lt;1&gt; Сведения раздела I настоящей отчетности подлежат автоматическому заполнению на основании сведений из учетной записи юридического лица или индивидуального предпринимател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w:r>
                <w:rPr>
                  <w:sz w:val="24"/>
                  <w:color w:val="0000ff"/>
                </w:rPr>
                <w:t xml:space="preserve">&lt;1&gt;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2209"/>
        <w:gridCol w:w="764"/>
        <w:gridCol w:w="1694"/>
        <w:gridCol w:w="1851"/>
        <w:gridCol w:w="2551"/>
      </w:tblGrid>
      <w:tr>
        <w:tc>
          <w:tcPr>
            <w:tcW w:w="2209" w:type="dxa"/>
            <w:vAlign w:val="bottom"/>
            <w:tcBorders>
              <w:top w:val="nil"/>
              <w:left w:val="nil"/>
              <w:bottom w:val="nil"/>
              <w:right w:val="nil"/>
            </w:tcBorders>
          </w:tcPr>
          <w:p>
            <w:pPr>
              <w:pStyle w:val="0"/>
              <w:jc w:val="both"/>
            </w:pPr>
            <w:r>
              <w:rPr>
                <w:sz w:val="24"/>
              </w:rPr>
              <w:t xml:space="preserve">1. Информация об</w:t>
            </w:r>
          </w:p>
        </w:tc>
        <w:tc>
          <w:tcPr>
            <w:gridSpan w:val="3"/>
            <w:tcW w:w="4309" w:type="dxa"/>
            <w:tcBorders>
              <w:top w:val="nil"/>
              <w:left w:val="nil"/>
              <w:bottom w:val="single" w:sz="4"/>
              <w:right w:val="nil"/>
            </w:tcBorders>
          </w:tcPr>
          <w:p>
            <w:pPr>
              <w:pStyle w:val="0"/>
            </w:pPr>
            <w:r>
              <w:rPr>
                <w:sz w:val="24"/>
              </w:rPr>
            </w:r>
          </w:p>
        </w:tc>
        <w:tc>
          <w:tcPr>
            <w:tcW w:w="2551" w:type="dxa"/>
            <w:vAlign w:val="bottom"/>
            <w:tcBorders>
              <w:top w:val="nil"/>
              <w:left w:val="nil"/>
              <w:bottom w:val="nil"/>
              <w:right w:val="nil"/>
            </w:tcBorders>
          </w:tcPr>
          <w:p>
            <w:pPr>
              <w:pStyle w:val="0"/>
            </w:pPr>
            <w:r>
              <w:rPr>
                <w:sz w:val="24"/>
              </w:rPr>
              <w:t xml:space="preserve">- юридическом лице:</w:t>
            </w:r>
          </w:p>
        </w:tc>
      </w:tr>
      <w:tr>
        <w:tc>
          <w:tcPr>
            <w:tcW w:w="2209" w:type="dxa"/>
            <w:tcBorders>
              <w:top w:val="nil"/>
              <w:left w:val="nil"/>
              <w:bottom w:val="nil"/>
              <w:right w:val="nil"/>
            </w:tcBorders>
          </w:tcPr>
          <w:p>
            <w:pPr>
              <w:pStyle w:val="0"/>
            </w:pPr>
            <w:r>
              <w:rPr>
                <w:sz w:val="24"/>
              </w:rPr>
            </w:r>
          </w:p>
        </w:tc>
        <w:tc>
          <w:tcPr>
            <w:gridSpan w:val="3"/>
            <w:tcW w:w="4309" w:type="dxa"/>
            <w:tcBorders>
              <w:top w:val="single" w:sz="4"/>
              <w:left w:val="nil"/>
              <w:bottom w:val="nil"/>
              <w:right w:val="nil"/>
            </w:tcBorders>
          </w:tcPr>
          <w:p>
            <w:pPr>
              <w:pStyle w:val="0"/>
              <w:jc w:val="center"/>
            </w:pPr>
            <w:r>
              <w:rPr>
                <w:sz w:val="24"/>
              </w:rPr>
              <w:t xml:space="preserve">(импортере товаров)</w:t>
            </w:r>
          </w:p>
        </w:tc>
        <w:tc>
          <w:tcPr>
            <w:tcW w:w="2551" w:type="dxa"/>
            <w:tcBorders>
              <w:top w:val="nil"/>
              <w:left w:val="nil"/>
              <w:bottom w:val="nil"/>
              <w:right w:val="nil"/>
            </w:tcBorders>
          </w:tcPr>
          <w:p>
            <w:pPr>
              <w:pStyle w:val="0"/>
            </w:pPr>
            <w:r>
              <w:rPr>
                <w:sz w:val="24"/>
              </w:rPr>
            </w:r>
          </w:p>
        </w:tc>
      </w:tr>
      <w:tr>
        <w:tc>
          <w:tcPr>
            <w:gridSpan w:val="3"/>
            <w:tcW w:w="4667" w:type="dxa"/>
            <w:tcBorders>
              <w:top w:val="nil"/>
              <w:left w:val="nil"/>
              <w:bottom w:val="nil"/>
              <w:right w:val="nil"/>
            </w:tcBorders>
          </w:tcPr>
          <w:p>
            <w:pPr>
              <w:pStyle w:val="0"/>
              <w:jc w:val="both"/>
            </w:pPr>
            <w:r>
              <w:rPr>
                <w:sz w:val="24"/>
              </w:rPr>
              <w:t xml:space="preserve">организационно-правовая форма</w:t>
            </w:r>
          </w:p>
          <w:p>
            <w:pPr>
              <w:pStyle w:val="0"/>
              <w:jc w:val="both"/>
            </w:pPr>
            <w:r>
              <w:rPr>
                <w:sz w:val="24"/>
              </w:rPr>
              <w:t xml:space="preserve">юридического лица и его наименование</w:t>
            </w:r>
          </w:p>
        </w:tc>
        <w:tc>
          <w:tcPr>
            <w:gridSpan w:val="2"/>
            <w:tcW w:w="4402" w:type="dxa"/>
            <w:tcBorders>
              <w:top w:val="nil"/>
              <w:left w:val="nil"/>
              <w:bottom w:val="single" w:sz="4"/>
              <w:right w:val="nil"/>
            </w:tcBorders>
          </w:tcPr>
          <w:p>
            <w:pPr>
              <w:pStyle w:val="0"/>
            </w:pPr>
            <w:r>
              <w:rPr>
                <w:sz w:val="24"/>
              </w:rPr>
            </w:r>
          </w:p>
        </w:tc>
      </w:tr>
      <w:tr>
        <w:tc>
          <w:tcPr>
            <w:gridSpan w:val="3"/>
            <w:tcW w:w="4667" w:type="dxa"/>
            <w:tcBorders>
              <w:top w:val="nil"/>
              <w:left w:val="nil"/>
              <w:bottom w:val="nil"/>
              <w:right w:val="nil"/>
            </w:tcBorders>
          </w:tcPr>
          <w:p>
            <w:pPr>
              <w:pStyle w:val="0"/>
            </w:pPr>
            <w:r>
              <w:rPr>
                <w:sz w:val="24"/>
              </w:rPr>
            </w:r>
          </w:p>
        </w:tc>
        <w:tc>
          <w:tcPr>
            <w:gridSpan w:val="2"/>
            <w:tcW w:w="4402" w:type="dxa"/>
            <w:tcBorders>
              <w:top w:val="single" w:sz="4"/>
              <w:left w:val="nil"/>
              <w:bottom w:val="nil"/>
              <w:right w:val="nil"/>
            </w:tcBorders>
          </w:tcPr>
          <w:p>
            <w:pPr>
              <w:pStyle w:val="0"/>
              <w:jc w:val="center"/>
            </w:pPr>
            <w:r>
              <w:rPr>
                <w:sz w:val="24"/>
              </w:rPr>
              <w:t xml:space="preserve">(полное, сокращенное (при наличии), фирменное наименование)</w:t>
            </w:r>
          </w:p>
        </w:tc>
      </w:tr>
      <w:tr>
        <w:tc>
          <w:tcPr>
            <w:gridSpan w:val="5"/>
            <w:tcW w:w="9069" w:type="dxa"/>
            <w:tcBorders>
              <w:top w:val="nil"/>
              <w:left w:val="nil"/>
              <w:bottom w:val="nil"/>
              <w:right w:val="nil"/>
            </w:tcBorders>
          </w:tcPr>
          <w:p>
            <w:pPr>
              <w:pStyle w:val="0"/>
              <w:jc w:val="both"/>
            </w:pPr>
            <w:r>
              <w:rPr>
                <w:sz w:val="24"/>
              </w:rPr>
              <w:t xml:space="preserve">идентификационный номер</w:t>
            </w:r>
          </w:p>
          <w:p>
            <w:pPr>
              <w:pStyle w:val="0"/>
              <w:jc w:val="both"/>
            </w:pPr>
            <w:r>
              <w:rPr>
                <w:sz w:val="24"/>
              </w:rPr>
              <w:t xml:space="preserve">налогоплательщика _________________________________________________________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код причины постановки на учет 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адрес места нахождения юридического лица ___________________________________</w:t>
            </w:r>
          </w:p>
        </w:tc>
      </w:tr>
      <w:tr>
        <w:tc>
          <w:tcPr>
            <w:gridSpan w:val="5"/>
            <w:tcW w:w="9069" w:type="dxa"/>
            <w:tcBorders>
              <w:top w:val="nil"/>
              <w:left w:val="nil"/>
              <w:bottom w:val="nil"/>
              <w:right w:val="nil"/>
            </w:tcBorders>
          </w:tcPr>
          <w:p>
            <w:pPr>
              <w:pStyle w:val="0"/>
              <w:jc w:val="both"/>
            </w:pPr>
            <w:r>
              <w:rPr>
                <w:sz w:val="24"/>
              </w:rPr>
              <w:t xml:space="preserve">основной государственный</w:t>
            </w:r>
          </w:p>
          <w:p>
            <w:pPr>
              <w:pStyle w:val="0"/>
              <w:jc w:val="both"/>
            </w:pPr>
            <w:r>
              <w:rPr>
                <w:sz w:val="24"/>
              </w:rPr>
              <w:t xml:space="preserve">регистрационный номер 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реквизиты документа, подтверждающего факт</w:t>
            </w:r>
          </w:p>
          <w:p>
            <w:pPr>
              <w:pStyle w:val="0"/>
              <w:jc w:val="both"/>
            </w:pPr>
            <w:r>
              <w:rPr>
                <w:sz w:val="24"/>
              </w:rPr>
              <w:t xml:space="preserve">внесения записи о юридическом лице</w:t>
            </w:r>
          </w:p>
          <w:p>
            <w:pPr>
              <w:pStyle w:val="0"/>
              <w:jc w:val="both"/>
            </w:pPr>
            <w:r>
              <w:rPr>
                <w:sz w:val="24"/>
              </w:rPr>
              <w:t xml:space="preserve">в единый государственный реестр</w:t>
            </w:r>
          </w:p>
          <w:p>
            <w:pPr>
              <w:pStyle w:val="0"/>
              <w:jc w:val="both"/>
            </w:pPr>
            <w:r>
              <w:rPr>
                <w:sz w:val="24"/>
              </w:rPr>
              <w:t xml:space="preserve">юридических лиц, __________________________________________________________</w:t>
            </w:r>
          </w:p>
        </w:tc>
      </w:tr>
      <w:tr>
        <w:tc>
          <w:tcPr>
            <w:tcW w:w="2209" w:type="dxa"/>
            <w:vAlign w:val="bottom"/>
            <w:tcBorders>
              <w:top w:val="nil"/>
              <w:left w:val="nil"/>
              <w:bottom w:val="nil"/>
              <w:right w:val="nil"/>
            </w:tcBorders>
          </w:tcPr>
          <w:p>
            <w:pPr>
              <w:pStyle w:val="0"/>
            </w:pPr>
            <w:r>
              <w:rPr>
                <w:sz w:val="24"/>
              </w:rPr>
              <w:t xml:space="preserve">2. Информация об</w:t>
            </w:r>
          </w:p>
        </w:tc>
        <w:tc>
          <w:tcPr>
            <w:gridSpan w:val="2"/>
            <w:tcW w:w="2458" w:type="dxa"/>
            <w:tcBorders>
              <w:top w:val="nil"/>
              <w:left w:val="nil"/>
              <w:bottom w:val="single" w:sz="4"/>
              <w:right w:val="nil"/>
            </w:tcBorders>
          </w:tcPr>
          <w:p>
            <w:pPr>
              <w:pStyle w:val="0"/>
            </w:pPr>
            <w:r>
              <w:rPr>
                <w:sz w:val="24"/>
              </w:rPr>
            </w:r>
          </w:p>
        </w:tc>
        <w:tc>
          <w:tcPr>
            <w:gridSpan w:val="2"/>
            <w:tcW w:w="4402" w:type="dxa"/>
            <w:tcBorders>
              <w:top w:val="nil"/>
              <w:left w:val="nil"/>
              <w:bottom w:val="nil"/>
              <w:right w:val="nil"/>
            </w:tcBorders>
            <w:vMerge w:val="restart"/>
          </w:tcPr>
          <w:p>
            <w:pPr>
              <w:pStyle w:val="0"/>
            </w:pPr>
            <w:r>
              <w:rPr>
                <w:sz w:val="24"/>
              </w:rPr>
              <w:t xml:space="preserve">- для физического лица, зарегистрированного в качестве индивидуального предпринимателя (далее - индивидуальный предприниматель):</w:t>
            </w:r>
          </w:p>
        </w:tc>
      </w:tr>
      <w:tr>
        <w:tc>
          <w:tcPr>
            <w:tcW w:w="2209" w:type="dxa"/>
            <w:tcBorders>
              <w:top w:val="nil"/>
              <w:left w:val="nil"/>
              <w:bottom w:val="nil"/>
              <w:right w:val="nil"/>
            </w:tcBorders>
          </w:tcPr>
          <w:p>
            <w:pPr>
              <w:pStyle w:val="0"/>
            </w:pPr>
            <w:r>
              <w:rPr>
                <w:sz w:val="24"/>
              </w:rPr>
            </w:r>
          </w:p>
        </w:tc>
        <w:tc>
          <w:tcPr>
            <w:gridSpan w:val="2"/>
            <w:tcW w:w="2458" w:type="dxa"/>
            <w:tcBorders>
              <w:top w:val="single" w:sz="4"/>
              <w:left w:val="nil"/>
              <w:bottom w:val="nil"/>
              <w:right w:val="nil"/>
            </w:tcBorders>
          </w:tcPr>
          <w:p>
            <w:pPr>
              <w:pStyle w:val="0"/>
              <w:jc w:val="center"/>
            </w:pPr>
            <w:r>
              <w:rPr>
                <w:sz w:val="24"/>
              </w:rPr>
              <w:t xml:space="preserve">(импортере товаров)</w:t>
            </w:r>
          </w:p>
        </w:tc>
        <w:tc>
          <w:tcPr>
            <w:gridSpan w:val="2"/>
            <w:tcBorders>
              <w:top w:val="nil"/>
              <w:left w:val="nil"/>
              <w:bottom w:val="nil"/>
              <w:right w:val="nil"/>
            </w:tcBorders>
            <w:vMerge w:val="continue"/>
          </w:tcPr>
          <w:p/>
        </w:tc>
      </w:tr>
      <w:tr>
        <w:tc>
          <w:tcPr>
            <w:gridSpan w:val="5"/>
            <w:tcW w:w="9069" w:type="dxa"/>
            <w:tcBorders>
              <w:top w:val="nil"/>
              <w:left w:val="nil"/>
              <w:bottom w:val="nil"/>
              <w:right w:val="nil"/>
            </w:tcBorders>
          </w:tcPr>
          <w:p>
            <w:pPr>
              <w:pStyle w:val="0"/>
              <w:jc w:val="both"/>
            </w:pPr>
            <w:r>
              <w:rPr>
                <w:sz w:val="24"/>
              </w:rPr>
              <w:t xml:space="preserve">фамилия, имя, отчество (при наличии)</w:t>
            </w:r>
          </w:p>
          <w:p>
            <w:pPr>
              <w:pStyle w:val="0"/>
              <w:jc w:val="both"/>
            </w:pPr>
            <w:r>
              <w:rPr>
                <w:sz w:val="24"/>
              </w:rPr>
              <w:t xml:space="preserve">индивидуального предпринимателя 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идентификационный номер</w:t>
            </w:r>
          </w:p>
          <w:p>
            <w:pPr>
              <w:pStyle w:val="0"/>
              <w:jc w:val="both"/>
            </w:pPr>
            <w:r>
              <w:rPr>
                <w:sz w:val="24"/>
              </w:rPr>
              <w:t xml:space="preserve">налогоплательщика _________________________________________________________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адрес индивидуального</w:t>
            </w:r>
          </w:p>
          <w:p>
            <w:pPr>
              <w:pStyle w:val="0"/>
              <w:jc w:val="both"/>
            </w:pPr>
            <w:r>
              <w:rPr>
                <w:sz w:val="24"/>
              </w:rPr>
              <w:t xml:space="preserve">предпринимателя __________________________________________________________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основной государственный</w:t>
            </w:r>
          </w:p>
          <w:p>
            <w:pPr>
              <w:pStyle w:val="0"/>
              <w:jc w:val="both"/>
            </w:pPr>
            <w:r>
              <w:rPr>
                <w:sz w:val="24"/>
              </w:rPr>
              <w:t xml:space="preserve">регистрационный номер 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реквизиты документа, подтверждающего</w:t>
            </w:r>
          </w:p>
          <w:p>
            <w:pPr>
              <w:pStyle w:val="0"/>
              <w:jc w:val="both"/>
            </w:pPr>
            <w:r>
              <w:rPr>
                <w:sz w:val="24"/>
              </w:rPr>
              <w:t xml:space="preserve">факт внесения записи об индивидуальном</w:t>
            </w:r>
          </w:p>
          <w:p>
            <w:pPr>
              <w:pStyle w:val="0"/>
              <w:jc w:val="both"/>
            </w:pPr>
            <w:r>
              <w:rPr>
                <w:sz w:val="24"/>
              </w:rPr>
              <w:t xml:space="preserve">предпринимателе в единый государственный</w:t>
            </w:r>
          </w:p>
          <w:p>
            <w:pPr>
              <w:pStyle w:val="0"/>
              <w:jc w:val="both"/>
            </w:pPr>
            <w:r>
              <w:rPr>
                <w:sz w:val="24"/>
              </w:rPr>
              <w:t xml:space="preserve">реестр индивидуальных предпринимателей, ____________________________________</w:t>
            </w:r>
          </w:p>
        </w:tc>
      </w:tr>
      <w:tr>
        <w:tc>
          <w:tcPr>
            <w:gridSpan w:val="5"/>
            <w:tcW w:w="9069" w:type="dxa"/>
            <w:tcBorders>
              <w:top w:val="nil"/>
              <w:left w:val="nil"/>
              <w:bottom w:val="nil"/>
              <w:right w:val="nil"/>
            </w:tcBorders>
          </w:tcPr>
          <w:p>
            <w:pPr>
              <w:pStyle w:val="0"/>
              <w:jc w:val="both"/>
            </w:pPr>
            <w:r>
              <w:rPr>
                <w:sz w:val="24"/>
              </w:rPr>
              <w:t xml:space="preserve">3. Код по Общероссийскому </w:t>
            </w:r>
            <w:r>
              <w:rPr>
                <w:sz w:val="24"/>
              </w:rPr>
              <w:t xml:space="preserve">классификатору</w:t>
            </w:r>
            <w:r>
              <w:rPr>
                <w:sz w:val="24"/>
              </w:rPr>
              <w:t xml:space="preserve"> видов экономической деятельности ОК 029-2014 (КДЕС ред. 2) _____________________________________________________</w:t>
            </w:r>
          </w:p>
        </w:tc>
      </w:tr>
      <w:tr>
        <w:tc>
          <w:tcPr>
            <w:gridSpan w:val="5"/>
            <w:tcW w:w="9069" w:type="dxa"/>
            <w:tcBorders>
              <w:top w:val="nil"/>
              <w:left w:val="nil"/>
              <w:bottom w:val="nil"/>
              <w:right w:val="nil"/>
            </w:tcBorders>
          </w:tcPr>
          <w:p>
            <w:pPr>
              <w:pStyle w:val="0"/>
              <w:jc w:val="both"/>
            </w:pPr>
            <w:r>
              <w:rPr>
                <w:sz w:val="24"/>
              </w:rPr>
              <w:t xml:space="preserve">4. Код по Общероссийскому </w:t>
            </w:r>
            <w:r>
              <w:rPr>
                <w:sz w:val="24"/>
              </w:rPr>
              <w:t xml:space="preserve">классификатору</w:t>
            </w:r>
            <w:r>
              <w:rPr>
                <w:sz w:val="24"/>
              </w:rPr>
              <w:t xml:space="preserve"> объектов административно-территориального деления ОК 019-95 _________________________</w:t>
            </w:r>
          </w:p>
        </w:tc>
      </w:tr>
      <w:tr>
        <w:tc>
          <w:tcPr>
            <w:gridSpan w:val="5"/>
            <w:tcW w:w="9069" w:type="dxa"/>
            <w:tcBorders>
              <w:top w:val="nil"/>
              <w:left w:val="nil"/>
              <w:bottom w:val="nil"/>
              <w:right w:val="nil"/>
            </w:tcBorders>
          </w:tcPr>
          <w:p>
            <w:pPr>
              <w:pStyle w:val="0"/>
              <w:jc w:val="both"/>
            </w:pPr>
            <w:r>
              <w:rPr>
                <w:sz w:val="24"/>
              </w:rPr>
              <w:t xml:space="preserve">5. Код по Общероссийскому </w:t>
            </w:r>
            <w:r>
              <w:rPr>
                <w:sz w:val="24"/>
              </w:rPr>
              <w:t xml:space="preserve">классификатору</w:t>
            </w:r>
            <w:r>
              <w:rPr>
                <w:sz w:val="24"/>
              </w:rPr>
              <w:t xml:space="preserve"> территорий муниципальных образований ОК 033-2013 ______________________________________________________________</w:t>
            </w:r>
          </w:p>
        </w:tc>
      </w:tr>
      <w:tr>
        <w:tc>
          <w:tcPr>
            <w:gridSpan w:val="2"/>
            <w:tcW w:w="2973" w:type="dxa"/>
            <w:vAlign w:val="bottom"/>
            <w:tcBorders>
              <w:top w:val="nil"/>
              <w:left w:val="nil"/>
              <w:bottom w:val="nil"/>
              <w:right w:val="nil"/>
            </w:tcBorders>
          </w:tcPr>
          <w:p>
            <w:pPr>
              <w:pStyle w:val="0"/>
              <w:jc w:val="both"/>
            </w:pPr>
            <w:r>
              <w:rPr>
                <w:sz w:val="24"/>
              </w:rPr>
              <w:t xml:space="preserve">6. Контактная информация</w:t>
            </w:r>
          </w:p>
        </w:tc>
        <w:tc>
          <w:tcPr>
            <w:gridSpan w:val="3"/>
            <w:tcW w:w="6096" w:type="dxa"/>
            <w:tcBorders>
              <w:top w:val="nil"/>
              <w:left w:val="nil"/>
              <w:bottom w:val="single" w:sz="4"/>
              <w:right w:val="nil"/>
            </w:tcBorders>
          </w:tcPr>
          <w:p>
            <w:pPr>
              <w:pStyle w:val="0"/>
            </w:pPr>
            <w:r>
              <w:rPr>
                <w:sz w:val="24"/>
              </w:rPr>
            </w:r>
          </w:p>
        </w:tc>
      </w:tr>
      <w:tr>
        <w:tc>
          <w:tcPr>
            <w:gridSpan w:val="2"/>
            <w:tcW w:w="2973" w:type="dxa"/>
            <w:tcBorders>
              <w:top w:val="nil"/>
              <w:left w:val="nil"/>
              <w:bottom w:val="nil"/>
              <w:right w:val="nil"/>
            </w:tcBorders>
          </w:tcPr>
          <w:p>
            <w:pPr>
              <w:pStyle w:val="0"/>
            </w:pPr>
            <w:r>
              <w:rPr>
                <w:sz w:val="24"/>
              </w:rPr>
            </w:r>
          </w:p>
        </w:tc>
        <w:tc>
          <w:tcPr>
            <w:gridSpan w:val="3"/>
            <w:tcW w:w="6096" w:type="dxa"/>
            <w:tcBorders>
              <w:top w:val="single" w:sz="4"/>
              <w:left w:val="nil"/>
              <w:bottom w:val="nil"/>
              <w:right w:val="nil"/>
            </w:tcBorders>
          </w:tcPr>
          <w:p>
            <w:pPr>
              <w:pStyle w:val="0"/>
              <w:jc w:val="center"/>
            </w:pPr>
            <w:r>
              <w:rPr>
                <w:sz w:val="24"/>
              </w:rPr>
              <w:t xml:space="preserve">(номера телефонов, адрес электронной почты (при наличии), должность и фамилия, имя, отчество (при наличии) лица, заполняющего отчетность)</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center"/>
            </w:pPr>
            <w:r>
              <w:rPr>
                <w:sz w:val="24"/>
              </w:rPr>
              <w:t xml:space="preserve">Раздел II. Информация о товарах, упаковке, отходы от использования которых подлежат утилизации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center"/>
            </w:pPr>
            <w:r>
              <w:rPr>
                <w:sz w:val="24"/>
              </w:rPr>
              <w:t xml:space="preserve">1. Информация о товарах, упаковке, ввезенных на территорию Российской Федерации, из государств, не являющихся членами Евразийского экономического союза </w:t>
            </w:r>
            <w:hyperlink w:history="0" w:anchor="P806" w:tooltip="&lt;2&gt; В таблице 1 указываются номер и наименование группы товаров, упаковки, отходы от использования которых подлежат утилизации в отчетном периоде, в соответствии с разделами I и II перечней товаров, упаковки, отходы от использования которых подлежат утилизации, утвержденных постановлением Правительства Российской Федерации от 29 декабря 2023 г. N 2414 &quot;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
              <w:r>
                <w:rPr>
                  <w:sz w:val="24"/>
                  <w:color w:val="0000ff"/>
                </w:rPr>
                <w:t xml:space="preserve">&lt;2&gt;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600" w:name="P600"/>
          <w:bookmarkEnd w:id="600"/>
          <w:p>
            <w:pPr>
              <w:pStyle w:val="0"/>
              <w:outlineLvl w:val="4"/>
              <w:jc w:val="right"/>
            </w:pPr>
            <w:r>
              <w:rPr>
                <w:sz w:val="24"/>
              </w:rPr>
              <w:t xml:space="preserve">Таблица 1</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020"/>
        <w:gridCol w:w="1445"/>
        <w:gridCol w:w="1361"/>
        <w:gridCol w:w="1128"/>
        <w:gridCol w:w="998"/>
        <w:gridCol w:w="989"/>
        <w:gridCol w:w="1061"/>
        <w:gridCol w:w="1008"/>
        <w:gridCol w:w="1701"/>
        <w:gridCol w:w="1701"/>
        <w:gridCol w:w="964"/>
        <w:gridCol w:w="1027"/>
        <w:gridCol w:w="950"/>
      </w:tblGrid>
      <w:tr>
        <w:tc>
          <w:tcPr>
            <w:tcW w:w="510" w:type="dxa"/>
            <w:vMerge w:val="restart"/>
          </w:tcPr>
          <w:p>
            <w:pPr>
              <w:pStyle w:val="0"/>
              <w:jc w:val="center"/>
            </w:pPr>
            <w:r>
              <w:rPr>
                <w:sz w:val="24"/>
              </w:rPr>
              <w:t xml:space="preserve">N п/п</w:t>
            </w:r>
          </w:p>
        </w:tc>
        <w:tc>
          <w:tcPr>
            <w:tcW w:w="1020" w:type="dxa"/>
            <w:vMerge w:val="restart"/>
          </w:tcPr>
          <w:p>
            <w:pPr>
              <w:pStyle w:val="0"/>
              <w:jc w:val="center"/>
            </w:pPr>
            <w:r>
              <w:rPr>
                <w:sz w:val="24"/>
              </w:rPr>
              <w:t xml:space="preserve">Наименование товара, упаковки </w:t>
            </w:r>
            <w:hyperlink w:history="0" w:anchor="P806" w:tooltip="&lt;2&gt; В таблице 1 указываются номер и наименование группы товаров, упаковки, отходы от использования которых подлежат утилизации в отчетном периоде, в соответствии с разделами I и II перечней товаров, упаковки, отходы от использования которых подлежат утилизации, утвержденных постановлением Правительства Российской Федерации от 29 декабря 2023 г. N 2414 &quot;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
              <w:r>
                <w:rPr>
                  <w:sz w:val="24"/>
                  <w:color w:val="0000ff"/>
                </w:rPr>
                <w:t xml:space="preserve">&lt;2&gt;</w:t>
              </w:r>
            </w:hyperlink>
          </w:p>
        </w:tc>
        <w:tc>
          <w:tcPr>
            <w:tcW w:w="1445" w:type="dxa"/>
            <w:vMerge w:val="restart"/>
          </w:tcPr>
          <w:p>
            <w:pPr>
              <w:pStyle w:val="0"/>
              <w:jc w:val="center"/>
            </w:pPr>
            <w:r>
              <w:rPr>
                <w:sz w:val="24"/>
              </w:rPr>
              <w:t xml:space="preserve">Наименование позиции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 </w:t>
            </w:r>
            <w:hyperlink w:history="0" w:anchor="P807" w:tooltip="&lt;3&gt; Наименование и код по каждому товару, упаковке указываются по единой Товарной номенклатуре внешнеэкономической деятельности Евразийского экономического союза (ТН ВЭД ЕАЭС). Заполняется для товара, упаковки, ввезенных на территорию Российской Федерации.">
              <w:r>
                <w:rPr>
                  <w:sz w:val="24"/>
                  <w:color w:val="0000ff"/>
                </w:rPr>
                <w:t xml:space="preserve">&lt;3&gt;</w:t>
              </w:r>
            </w:hyperlink>
          </w:p>
        </w:tc>
        <w:tc>
          <w:tcPr>
            <w:tcW w:w="1361" w:type="dxa"/>
            <w:vMerge w:val="restart"/>
          </w:tcPr>
          <w:p>
            <w:pPr>
              <w:pStyle w:val="0"/>
              <w:jc w:val="center"/>
            </w:pPr>
            <w:r>
              <w:rPr>
                <w:sz w:val="24"/>
              </w:rPr>
              <w:t xml:space="preserve">Код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 </w:t>
            </w:r>
            <w:hyperlink w:history="0" w:anchor="P807" w:tooltip="&lt;3&gt; Наименование и код по каждому товару, упаковке указываются по единой Товарной номенклатуре внешнеэкономической деятельности Евразийского экономического союза (ТН ВЭД ЕАЭС). Заполняется для товара, упаковки, ввезенных на территорию Российской Федерации.">
              <w:r>
                <w:rPr>
                  <w:sz w:val="24"/>
                  <w:color w:val="0000ff"/>
                </w:rPr>
                <w:t xml:space="preserve">&lt;3&gt;</w:t>
              </w:r>
            </w:hyperlink>
          </w:p>
        </w:tc>
        <w:tc>
          <w:tcPr>
            <w:tcW w:w="1128" w:type="dxa"/>
            <w:vMerge w:val="restart"/>
          </w:tcPr>
          <w:p>
            <w:pPr>
              <w:pStyle w:val="0"/>
              <w:jc w:val="center"/>
            </w:pPr>
            <w:r>
              <w:rPr>
                <w:sz w:val="24"/>
              </w:rPr>
              <w:t xml:space="preserve">Масса отходов от использования товаров, подлежащих утилизации (М</w:t>
            </w:r>
            <w:r>
              <w:rPr>
                <w:sz w:val="24"/>
                <w:vertAlign w:val="subscript"/>
              </w:rPr>
              <w:t xml:space="preserve">подл.ут.т.)</w:t>
            </w:r>
            <w:r>
              <w:rPr>
                <w:sz w:val="24"/>
              </w:rPr>
              <w:t xml:space="preserve">, </w:t>
            </w:r>
            <w:r>
              <w:rPr>
                <w:sz w:val="24"/>
                <w:vertAlign w:val="subscript"/>
              </w:rPr>
              <w:t xml:space="preserve">КГ</w:t>
            </w:r>
            <w:r>
              <w:rPr>
                <w:sz w:val="24"/>
              </w:rPr>
              <w:t xml:space="preserve"> </w:t>
            </w:r>
            <w:hyperlink w:history="0" w:anchor="P808" w:tooltip="&lt;4&gt; Указывается масса отходов от использования товара, упаковки, подлежащих утилизации в отчетном периоде (Мподл.ут.т.). Строка графы 5 подлежит автоматическому заполнению в соответствии со значениями массы отходов от использования товаров, упаковки, в отношении которых сохраняется обязанность обеспечить утилизацию, представленными импортером товара в строке графы 24 таблицы 1 раздела II отчетности о массе товаров, упаковки, ввезенных из государств, не являющихся членами Евразийского экономического союза...">
              <w:r>
                <w:rPr>
                  <w:sz w:val="24"/>
                  <w:color w:val="0000ff"/>
                </w:rPr>
                <w:t xml:space="preserve">&lt;4&gt;</w:t>
              </w:r>
            </w:hyperlink>
          </w:p>
        </w:tc>
        <w:tc>
          <w:tcPr>
            <w:gridSpan w:val="9"/>
            <w:tcW w:w="10399" w:type="dxa"/>
          </w:tcPr>
          <w:p>
            <w:pPr>
              <w:pStyle w:val="0"/>
              <w:jc w:val="center"/>
            </w:pPr>
            <w:r>
              <w:rPr>
                <w:sz w:val="24"/>
              </w:rPr>
              <w:t xml:space="preserve">Информация об отходах от использования товаров, утилизированных в отчетном периоде</w:t>
            </w:r>
          </w:p>
        </w:tc>
      </w:tr>
      <w:tr>
        <w:tc>
          <w:tcPr>
            <w:vMerge w:val="continue"/>
          </w:tcPr>
          <w:p/>
        </w:tc>
        <w:tc>
          <w:tcPr>
            <w:vMerge w:val="continue"/>
          </w:tcPr>
          <w:p/>
        </w:tc>
        <w:tc>
          <w:tcPr>
            <w:vMerge w:val="continue"/>
          </w:tcPr>
          <w:p/>
        </w:tc>
        <w:tc>
          <w:tcPr>
            <w:vMerge w:val="continue"/>
          </w:tcPr>
          <w:p/>
        </w:tc>
        <w:tc>
          <w:tcPr>
            <w:vMerge w:val="continue"/>
          </w:tcPr>
          <w:p/>
        </w:tc>
        <w:tc>
          <w:tcPr>
            <w:tcW w:w="998" w:type="dxa"/>
          </w:tcPr>
          <w:p>
            <w:pPr>
              <w:pStyle w:val="0"/>
              <w:jc w:val="center"/>
            </w:pPr>
            <w:r>
              <w:rPr>
                <w:sz w:val="24"/>
              </w:rPr>
              <w:t xml:space="preserve">масса отходов, утилизированных в отчетном периоде, всего (М</w:t>
            </w:r>
            <w:r>
              <w:rPr>
                <w:sz w:val="24"/>
                <w:vertAlign w:val="subscript"/>
              </w:rPr>
              <w:t xml:space="preserve">ут.т.</w:t>
            </w:r>
            <w:r>
              <w:rPr>
                <w:sz w:val="24"/>
              </w:rPr>
              <w:t xml:space="preserve">), кг </w:t>
            </w:r>
            <w:hyperlink w:history="0" w:anchor="P809" w:tooltip="&lt;5&gt; Указывается общая масса утилизированных отходов от использования товара и (или) использованного вторичного сырья, полученного из отходов от использования таких товаров, при производстве товара (продукции) в отчетном периоде (Мут.т.) в целях исполнения импортерами товара обязанности по обеспечению самостоятельной утилизации отходов от использования товара, упаковки, сведения о которых указаны в строках граф 2 - 4, в соответствии с перечнем видов отходов от использования товаров, видов полученного из т...">
              <w:r>
                <w:rPr>
                  <w:sz w:val="24"/>
                  <w:color w:val="0000ff"/>
                </w:rPr>
                <w:t xml:space="preserve">&lt;5&gt;</w:t>
              </w:r>
            </w:hyperlink>
          </w:p>
        </w:tc>
        <w:tc>
          <w:tcPr>
            <w:tcW w:w="989" w:type="dxa"/>
          </w:tcPr>
          <w:p>
            <w:pPr>
              <w:pStyle w:val="0"/>
              <w:jc w:val="center"/>
            </w:pPr>
            <w:r>
              <w:rPr>
                <w:sz w:val="24"/>
              </w:rPr>
              <w:t xml:space="preserve">номер реестровой записи в реестре утилизаторов </w:t>
            </w:r>
            <w:hyperlink w:history="0" w:anchor="P810" w:tooltip="&lt;6&gt; Указывается номер реестровой записи в реестре юридических лиц, индивидуальных предпринимателей, осуществляющих утилизацию отходов от использования товаров (далее - реестр утилизаторов), импортера товара (в случае осуществления им утилизации отходов от использования товаров самостоятельно путем использования собственной инфраструктуры по утилизации отходов от использования товаров) и (или) юридических лиц, индивидуальных предпринимателей, осуществляющих утилизацию отходов от использования товаров, с к...">
              <w:r>
                <w:rPr>
                  <w:sz w:val="24"/>
                  <w:color w:val="0000ff"/>
                </w:rPr>
                <w:t xml:space="preserve">&lt;6&gt;</w:t>
              </w:r>
            </w:hyperlink>
          </w:p>
        </w:tc>
        <w:tc>
          <w:tcPr>
            <w:tcW w:w="1061" w:type="dxa"/>
          </w:tcPr>
          <w:p>
            <w:pPr>
              <w:pStyle w:val="0"/>
              <w:jc w:val="center"/>
            </w:pPr>
            <w:r>
              <w:rPr>
                <w:sz w:val="24"/>
              </w:rPr>
              <w:t xml:space="preserve">масса отходов, утилизированных самостоятельно, кг </w:t>
            </w:r>
            <w:hyperlink w:history="0" w:anchor="P811" w:tooltip="&lt;7&gt; Указывается масса утилизированных отходов от использования товара и (или) использованного вторичного сырья, полученного из отходов от использования товаров, при производстве товаров (продукции) в отчетном периоде импортером товара самостоятельно. В случае отсутствия таких данных в строке графы 8 ставится значение &quot;0&quot;.">
              <w:r>
                <w:rPr>
                  <w:sz w:val="24"/>
                  <w:color w:val="0000ff"/>
                </w:rPr>
                <w:t xml:space="preserve">&lt;7&gt;</w:t>
              </w:r>
            </w:hyperlink>
          </w:p>
        </w:tc>
        <w:tc>
          <w:tcPr>
            <w:tcW w:w="1008" w:type="dxa"/>
          </w:tcPr>
          <w:p>
            <w:pPr>
              <w:pStyle w:val="0"/>
              <w:jc w:val="center"/>
            </w:pPr>
            <w:r>
              <w:rPr>
                <w:sz w:val="24"/>
              </w:rPr>
              <w:t xml:space="preserve">масса отходов, утилизированных другими лицами, кг </w:t>
            </w:r>
            <w:hyperlink w:history="0" w:anchor="P812" w:tooltip="&lt;8&gt; Указывается масса утилизированных отходов от использования товара и (или) использованного вторичного сырья, полученного из отходов от использования товаров, при производстве товаров (продукции) в отчетном периоде юридическими лицами, индивидуальными предпринимателями, осуществляющими утилизацию отходов от использования товаров, включенными в реестр утилизаторов, и с которыми импортером товара заключены договоры с утилизаторами. В случае отсутствия таких данных в строке графы 9 ставится значение &quot;0&quot;.">
              <w:r>
                <w:rPr>
                  <w:sz w:val="24"/>
                  <w:color w:val="0000ff"/>
                </w:rPr>
                <w:t xml:space="preserve">&lt;8&gt;</w:t>
              </w:r>
            </w:hyperlink>
          </w:p>
        </w:tc>
        <w:tc>
          <w:tcPr>
            <w:tcW w:w="1701" w:type="dxa"/>
          </w:tcPr>
          <w:p>
            <w:pPr>
              <w:pStyle w:val="0"/>
              <w:jc w:val="center"/>
            </w:pPr>
            <w:r>
              <w:rPr>
                <w:sz w:val="24"/>
              </w:rPr>
              <w:t xml:space="preserve">наименование произведенного товара (продукции) по Общероссийскому </w:t>
            </w:r>
            <w:r>
              <w:rPr>
                <w:sz w:val="24"/>
              </w:rPr>
              <w:t xml:space="preserve">классификатору</w:t>
            </w:r>
            <w:r>
              <w:rPr>
                <w:sz w:val="24"/>
              </w:rPr>
              <w:t xml:space="preserve"> продукции по видам экономической деятельности ОК 034-2014 (КПЕС 2008) </w:t>
            </w:r>
            <w:hyperlink w:history="0" w:anchor="P813" w:tooltip="&lt;9&gt; Указываются наименование и код произведенного товара (продукции) по Общероссийскому классификатору продукции по видам экономической деятельности ОК 034-2014 (КПЕС 2008), произведенного при утилизации отходов от использования товаров, использовании вторичного сырья, полученного из отходов от использования таких товаров, в соответствии с перечнем-конвертером. Заполняется на основании сведений, содержащихся в актах утилизации отходов от использования товаров (далее - акт утилизации отходов).">
              <w:r>
                <w:rPr>
                  <w:sz w:val="24"/>
                  <w:color w:val="0000ff"/>
                </w:rPr>
                <w:t xml:space="preserve">&lt;9&gt;</w:t>
              </w:r>
            </w:hyperlink>
          </w:p>
        </w:tc>
        <w:tc>
          <w:tcPr>
            <w:tcW w:w="1701" w:type="dxa"/>
          </w:tcPr>
          <w:p>
            <w:pPr>
              <w:pStyle w:val="0"/>
              <w:jc w:val="center"/>
            </w:pPr>
            <w:r>
              <w:rPr>
                <w:sz w:val="24"/>
              </w:rPr>
              <w:t xml:space="preserve">код произведенного товара (продукции) по Общероссийскому </w:t>
            </w:r>
            <w:r>
              <w:rPr>
                <w:sz w:val="24"/>
              </w:rPr>
              <w:t xml:space="preserve">классификатору</w:t>
            </w:r>
            <w:r>
              <w:rPr>
                <w:sz w:val="24"/>
              </w:rPr>
              <w:t xml:space="preserve"> продукции по видам экономической деятельности ОК 034-2014 (КПЕС 2008) </w:t>
            </w:r>
            <w:hyperlink w:history="0" w:anchor="P813" w:tooltip="&lt;9&gt; Указываются наименование и код произведенного товара (продукции) по Общероссийскому классификатору продукции по видам экономической деятельности ОК 034-2014 (КПЕС 2008), произведенного при утилизации отходов от использования товаров, использовании вторичного сырья, полученного из отходов от использования таких товаров, в соответствии с перечнем-конвертером. Заполняется на основании сведений, содержащихся в актах утилизации отходов от использования товаров (далее - акт утилизации отходов).">
              <w:r>
                <w:rPr>
                  <w:sz w:val="24"/>
                  <w:color w:val="0000ff"/>
                </w:rPr>
                <w:t xml:space="preserve">&lt;9&gt;</w:t>
              </w:r>
            </w:hyperlink>
          </w:p>
        </w:tc>
        <w:tc>
          <w:tcPr>
            <w:tcW w:w="964" w:type="dxa"/>
          </w:tcPr>
          <w:p>
            <w:pPr>
              <w:pStyle w:val="0"/>
              <w:jc w:val="center"/>
            </w:pPr>
            <w:r>
              <w:rPr>
                <w:sz w:val="24"/>
              </w:rPr>
              <w:t xml:space="preserve">масса произведенного товара (продукции), кг </w:t>
            </w:r>
            <w:hyperlink w:history="0" w:anchor="P814" w:tooltip="&lt;10&gt; Указывается масса произведенного товара (продукции), сведения о котором указаны в строках граф 10 - 11, произведенных с использованием отходов от использования товаров, упаковки, сведения о которых указаны в строках граф 2 - 4, вторичного сырья, полученного из таких отходов. Заполняется на основании сведений, содержащихся в актах утилизации отходов.">
              <w:r>
                <w:rPr>
                  <w:sz w:val="24"/>
                  <w:color w:val="0000ff"/>
                </w:rPr>
                <w:t xml:space="preserve">&lt;10&gt;</w:t>
              </w:r>
            </w:hyperlink>
          </w:p>
        </w:tc>
        <w:tc>
          <w:tcPr>
            <w:tcW w:w="1027" w:type="dxa"/>
          </w:tcPr>
          <w:p>
            <w:pPr>
              <w:pStyle w:val="0"/>
              <w:jc w:val="center"/>
            </w:pPr>
            <w:r>
              <w:rPr>
                <w:sz w:val="24"/>
              </w:rPr>
              <w:t xml:space="preserve">реквизиты актов утилизации отходов </w:t>
            </w:r>
            <w:hyperlink w:history="0" w:anchor="P815" w:tooltip="&lt;11&gt; Приводятся следующие сведения:">
              <w:r>
                <w:rPr>
                  <w:sz w:val="24"/>
                  <w:color w:val="0000ff"/>
                </w:rPr>
                <w:t xml:space="preserve">&lt;11&gt;</w:t>
              </w:r>
            </w:hyperlink>
          </w:p>
        </w:tc>
        <w:tc>
          <w:tcPr>
            <w:tcW w:w="950" w:type="dxa"/>
          </w:tcPr>
          <w:p>
            <w:pPr>
              <w:pStyle w:val="0"/>
              <w:jc w:val="center"/>
            </w:pPr>
            <w:r>
              <w:rPr>
                <w:sz w:val="24"/>
              </w:rPr>
              <w:t xml:space="preserve">реквизиты договоров </w:t>
            </w:r>
            <w:hyperlink w:history="0" w:anchor="P815" w:tooltip="&lt;11&gt; Приводятся следующие сведения:">
              <w:r>
                <w:rPr>
                  <w:sz w:val="24"/>
                  <w:color w:val="0000ff"/>
                </w:rPr>
                <w:t xml:space="preserve">&lt;11&gt;</w:t>
              </w:r>
            </w:hyperlink>
          </w:p>
        </w:tc>
      </w:tr>
      <w:tr>
        <w:tc>
          <w:tcPr>
            <w:tcW w:w="510" w:type="dxa"/>
          </w:tcPr>
          <w:p>
            <w:pPr>
              <w:pStyle w:val="0"/>
              <w:jc w:val="center"/>
            </w:pPr>
            <w:r>
              <w:rPr>
                <w:sz w:val="24"/>
              </w:rPr>
              <w:t xml:space="preserve">1</w:t>
            </w:r>
          </w:p>
        </w:tc>
        <w:tc>
          <w:tcPr>
            <w:tcW w:w="1020" w:type="dxa"/>
          </w:tcPr>
          <w:bookmarkStart w:id="618" w:name="P618"/>
          <w:bookmarkEnd w:id="618"/>
          <w:p>
            <w:pPr>
              <w:pStyle w:val="0"/>
              <w:jc w:val="center"/>
            </w:pPr>
            <w:r>
              <w:rPr>
                <w:sz w:val="24"/>
              </w:rPr>
              <w:t xml:space="preserve">2</w:t>
            </w:r>
          </w:p>
        </w:tc>
        <w:tc>
          <w:tcPr>
            <w:tcW w:w="1445" w:type="dxa"/>
          </w:tcPr>
          <w:p>
            <w:pPr>
              <w:pStyle w:val="0"/>
              <w:jc w:val="center"/>
            </w:pPr>
            <w:r>
              <w:rPr>
                <w:sz w:val="24"/>
              </w:rPr>
              <w:t xml:space="preserve">3</w:t>
            </w:r>
          </w:p>
        </w:tc>
        <w:tc>
          <w:tcPr>
            <w:tcW w:w="1361" w:type="dxa"/>
          </w:tcPr>
          <w:bookmarkStart w:id="620" w:name="P620"/>
          <w:bookmarkEnd w:id="620"/>
          <w:p>
            <w:pPr>
              <w:pStyle w:val="0"/>
              <w:jc w:val="center"/>
            </w:pPr>
            <w:r>
              <w:rPr>
                <w:sz w:val="24"/>
              </w:rPr>
              <w:t xml:space="preserve">4</w:t>
            </w:r>
          </w:p>
        </w:tc>
        <w:tc>
          <w:tcPr>
            <w:tcW w:w="1128" w:type="dxa"/>
          </w:tcPr>
          <w:bookmarkStart w:id="621" w:name="P621"/>
          <w:bookmarkEnd w:id="621"/>
          <w:p>
            <w:pPr>
              <w:pStyle w:val="0"/>
              <w:jc w:val="center"/>
            </w:pPr>
            <w:r>
              <w:rPr>
                <w:sz w:val="24"/>
              </w:rPr>
              <w:t xml:space="preserve">5</w:t>
            </w:r>
          </w:p>
        </w:tc>
        <w:tc>
          <w:tcPr>
            <w:tcW w:w="998" w:type="dxa"/>
          </w:tcPr>
          <w:bookmarkStart w:id="622" w:name="P622"/>
          <w:bookmarkEnd w:id="622"/>
          <w:p>
            <w:pPr>
              <w:pStyle w:val="0"/>
              <w:jc w:val="center"/>
            </w:pPr>
            <w:r>
              <w:rPr>
                <w:sz w:val="24"/>
              </w:rPr>
              <w:t xml:space="preserve">6</w:t>
            </w:r>
          </w:p>
        </w:tc>
        <w:tc>
          <w:tcPr>
            <w:tcW w:w="989" w:type="dxa"/>
          </w:tcPr>
          <w:p>
            <w:pPr>
              <w:pStyle w:val="0"/>
              <w:jc w:val="center"/>
            </w:pPr>
            <w:r>
              <w:rPr>
                <w:sz w:val="24"/>
              </w:rPr>
              <w:t xml:space="preserve">7</w:t>
            </w:r>
          </w:p>
        </w:tc>
        <w:tc>
          <w:tcPr>
            <w:tcW w:w="1061" w:type="dxa"/>
          </w:tcPr>
          <w:bookmarkStart w:id="624" w:name="P624"/>
          <w:bookmarkEnd w:id="624"/>
          <w:p>
            <w:pPr>
              <w:pStyle w:val="0"/>
              <w:jc w:val="center"/>
            </w:pPr>
            <w:r>
              <w:rPr>
                <w:sz w:val="24"/>
              </w:rPr>
              <w:t xml:space="preserve">8</w:t>
            </w:r>
          </w:p>
        </w:tc>
        <w:tc>
          <w:tcPr>
            <w:tcW w:w="1008" w:type="dxa"/>
          </w:tcPr>
          <w:bookmarkStart w:id="625" w:name="P625"/>
          <w:bookmarkEnd w:id="625"/>
          <w:p>
            <w:pPr>
              <w:pStyle w:val="0"/>
              <w:jc w:val="center"/>
            </w:pPr>
            <w:r>
              <w:rPr>
                <w:sz w:val="24"/>
              </w:rPr>
              <w:t xml:space="preserve">9</w:t>
            </w:r>
          </w:p>
        </w:tc>
        <w:tc>
          <w:tcPr>
            <w:tcW w:w="1701" w:type="dxa"/>
          </w:tcPr>
          <w:bookmarkStart w:id="626" w:name="P626"/>
          <w:bookmarkEnd w:id="626"/>
          <w:p>
            <w:pPr>
              <w:pStyle w:val="0"/>
              <w:jc w:val="center"/>
            </w:pPr>
            <w:r>
              <w:rPr>
                <w:sz w:val="24"/>
              </w:rPr>
              <w:t xml:space="preserve">10</w:t>
            </w:r>
          </w:p>
        </w:tc>
        <w:tc>
          <w:tcPr>
            <w:tcW w:w="1701" w:type="dxa"/>
          </w:tcPr>
          <w:bookmarkStart w:id="627" w:name="P627"/>
          <w:bookmarkEnd w:id="627"/>
          <w:p>
            <w:pPr>
              <w:pStyle w:val="0"/>
              <w:jc w:val="center"/>
            </w:pPr>
            <w:r>
              <w:rPr>
                <w:sz w:val="24"/>
              </w:rPr>
              <w:t xml:space="preserve">11</w:t>
            </w:r>
          </w:p>
        </w:tc>
        <w:tc>
          <w:tcPr>
            <w:tcW w:w="964" w:type="dxa"/>
          </w:tcPr>
          <w:p>
            <w:pPr>
              <w:pStyle w:val="0"/>
              <w:jc w:val="center"/>
            </w:pPr>
            <w:r>
              <w:rPr>
                <w:sz w:val="24"/>
              </w:rPr>
              <w:t xml:space="preserve">12</w:t>
            </w:r>
          </w:p>
        </w:tc>
        <w:tc>
          <w:tcPr>
            <w:tcW w:w="1027" w:type="dxa"/>
          </w:tcPr>
          <w:p>
            <w:pPr>
              <w:pStyle w:val="0"/>
              <w:jc w:val="center"/>
            </w:pPr>
            <w:r>
              <w:rPr>
                <w:sz w:val="24"/>
              </w:rPr>
              <w:t xml:space="preserve">13</w:t>
            </w:r>
          </w:p>
        </w:tc>
        <w:tc>
          <w:tcPr>
            <w:tcW w:w="950" w:type="dxa"/>
          </w:tcPr>
          <w:p>
            <w:pPr>
              <w:pStyle w:val="0"/>
              <w:jc w:val="center"/>
            </w:pPr>
            <w:r>
              <w:rPr>
                <w:sz w:val="24"/>
              </w:rPr>
              <w:t xml:space="preserve">14</w:t>
            </w:r>
          </w:p>
        </w:tc>
      </w:tr>
      <w:tr>
        <w:tc>
          <w:tcPr>
            <w:tcW w:w="510" w:type="dxa"/>
          </w:tcPr>
          <w:p>
            <w:pPr>
              <w:pStyle w:val="0"/>
            </w:pPr>
            <w:r>
              <w:rPr>
                <w:sz w:val="24"/>
              </w:rPr>
            </w:r>
          </w:p>
        </w:tc>
        <w:tc>
          <w:tcPr>
            <w:gridSpan w:val="13"/>
            <w:tcW w:w="15353" w:type="dxa"/>
            <w:vAlign w:val="bottom"/>
          </w:tcPr>
          <w:p>
            <w:pPr>
              <w:pStyle w:val="0"/>
              <w:jc w:val="center"/>
            </w:pPr>
            <w:r>
              <w:rPr>
                <w:sz w:val="24"/>
              </w:rPr>
              <w:t xml:space="preserve">группа N ...</w:t>
            </w:r>
          </w:p>
        </w:tc>
      </w:tr>
      <w:tr>
        <w:tc>
          <w:tcPr>
            <w:tcW w:w="510" w:type="dxa"/>
          </w:tcPr>
          <w:p>
            <w:pPr>
              <w:pStyle w:val="0"/>
            </w:pPr>
            <w:r>
              <w:rPr>
                <w:sz w:val="24"/>
              </w:rPr>
            </w:r>
          </w:p>
        </w:tc>
        <w:tc>
          <w:tcPr>
            <w:tcW w:w="1020" w:type="dxa"/>
          </w:tcPr>
          <w:p>
            <w:pPr>
              <w:pStyle w:val="0"/>
              <w:jc w:val="center"/>
            </w:pPr>
            <w:r>
              <w:rPr>
                <w:sz w:val="24"/>
              </w:rPr>
              <w:t xml:space="preserve">...</w:t>
            </w:r>
          </w:p>
        </w:tc>
        <w:tc>
          <w:tcPr>
            <w:tcW w:w="1445" w:type="dxa"/>
          </w:tcPr>
          <w:p>
            <w:pPr>
              <w:pStyle w:val="0"/>
            </w:pPr>
            <w:r>
              <w:rPr>
                <w:sz w:val="24"/>
              </w:rPr>
            </w:r>
          </w:p>
        </w:tc>
        <w:tc>
          <w:tcPr>
            <w:tcW w:w="1361" w:type="dxa"/>
          </w:tcPr>
          <w:p>
            <w:pPr>
              <w:pStyle w:val="0"/>
            </w:pPr>
            <w:r>
              <w:rPr>
                <w:sz w:val="24"/>
              </w:rPr>
            </w:r>
          </w:p>
        </w:tc>
        <w:tc>
          <w:tcPr>
            <w:tcW w:w="1128" w:type="dxa"/>
          </w:tcPr>
          <w:p>
            <w:pPr>
              <w:pStyle w:val="0"/>
            </w:pPr>
            <w:r>
              <w:rPr>
                <w:sz w:val="24"/>
              </w:rPr>
            </w:r>
          </w:p>
        </w:tc>
        <w:tc>
          <w:tcPr>
            <w:tcW w:w="998" w:type="dxa"/>
          </w:tcPr>
          <w:p>
            <w:pPr>
              <w:pStyle w:val="0"/>
            </w:pPr>
            <w:r>
              <w:rPr>
                <w:sz w:val="24"/>
              </w:rPr>
            </w:r>
          </w:p>
        </w:tc>
        <w:tc>
          <w:tcPr>
            <w:tcW w:w="989" w:type="dxa"/>
          </w:tcPr>
          <w:p>
            <w:pPr>
              <w:pStyle w:val="0"/>
            </w:pPr>
            <w:r>
              <w:rPr>
                <w:sz w:val="24"/>
              </w:rPr>
            </w:r>
          </w:p>
        </w:tc>
        <w:tc>
          <w:tcPr>
            <w:tcW w:w="1061" w:type="dxa"/>
          </w:tcPr>
          <w:p>
            <w:pPr>
              <w:pStyle w:val="0"/>
            </w:pPr>
            <w:r>
              <w:rPr>
                <w:sz w:val="24"/>
              </w:rPr>
            </w:r>
          </w:p>
        </w:tc>
        <w:tc>
          <w:tcPr>
            <w:tcW w:w="1008" w:type="dxa"/>
          </w:tcPr>
          <w:p>
            <w:pPr>
              <w:pStyle w:val="0"/>
            </w:pPr>
            <w:r>
              <w:rPr>
                <w:sz w:val="24"/>
              </w:rPr>
            </w:r>
          </w:p>
        </w:tc>
        <w:tc>
          <w:tcPr>
            <w:tcW w:w="1701" w:type="dxa"/>
          </w:tcPr>
          <w:p>
            <w:pPr>
              <w:pStyle w:val="0"/>
            </w:pPr>
            <w:r>
              <w:rPr>
                <w:sz w:val="24"/>
              </w:rPr>
            </w:r>
          </w:p>
        </w:tc>
        <w:tc>
          <w:tcPr>
            <w:tcW w:w="1701" w:type="dxa"/>
          </w:tcPr>
          <w:p>
            <w:pPr>
              <w:pStyle w:val="0"/>
            </w:pPr>
            <w:r>
              <w:rPr>
                <w:sz w:val="24"/>
              </w:rPr>
            </w:r>
          </w:p>
        </w:tc>
        <w:tc>
          <w:tcPr>
            <w:tcW w:w="964" w:type="dxa"/>
          </w:tcPr>
          <w:p>
            <w:pPr>
              <w:pStyle w:val="0"/>
            </w:pPr>
            <w:r>
              <w:rPr>
                <w:sz w:val="24"/>
              </w:rPr>
            </w:r>
          </w:p>
        </w:tc>
        <w:tc>
          <w:tcPr>
            <w:tcW w:w="1027" w:type="dxa"/>
          </w:tcPr>
          <w:p>
            <w:pPr>
              <w:pStyle w:val="0"/>
            </w:pPr>
            <w:r>
              <w:rPr>
                <w:sz w:val="24"/>
              </w:rPr>
            </w:r>
          </w:p>
        </w:tc>
        <w:tc>
          <w:tcPr>
            <w:tcW w:w="950" w:type="dxa"/>
          </w:tcPr>
          <w:p>
            <w:pPr>
              <w:pStyle w:val="0"/>
            </w:pPr>
            <w:r>
              <w:rPr>
                <w:sz w:val="24"/>
              </w:rPr>
            </w:r>
          </w:p>
        </w:tc>
      </w:tr>
      <w:tr>
        <w:tc>
          <w:tcPr>
            <w:tcW w:w="510" w:type="dxa"/>
          </w:tcPr>
          <w:p>
            <w:pPr>
              <w:pStyle w:val="0"/>
            </w:pPr>
            <w:r>
              <w:rPr>
                <w:sz w:val="24"/>
              </w:rPr>
            </w:r>
          </w:p>
        </w:tc>
        <w:tc>
          <w:tcPr>
            <w:tcW w:w="1020" w:type="dxa"/>
          </w:tcPr>
          <w:p>
            <w:pPr>
              <w:pStyle w:val="0"/>
            </w:pPr>
            <w:r>
              <w:rPr>
                <w:sz w:val="24"/>
              </w:rPr>
            </w:r>
          </w:p>
        </w:tc>
        <w:tc>
          <w:tcPr>
            <w:tcW w:w="1445" w:type="dxa"/>
          </w:tcPr>
          <w:p>
            <w:pPr>
              <w:pStyle w:val="0"/>
            </w:pPr>
            <w:r>
              <w:rPr>
                <w:sz w:val="24"/>
              </w:rPr>
            </w:r>
          </w:p>
        </w:tc>
        <w:tc>
          <w:tcPr>
            <w:tcW w:w="1361" w:type="dxa"/>
          </w:tcPr>
          <w:p>
            <w:pPr>
              <w:pStyle w:val="0"/>
            </w:pPr>
            <w:r>
              <w:rPr>
                <w:sz w:val="24"/>
              </w:rPr>
            </w:r>
          </w:p>
        </w:tc>
        <w:tc>
          <w:tcPr>
            <w:tcW w:w="1128" w:type="dxa"/>
          </w:tcPr>
          <w:p>
            <w:pPr>
              <w:pStyle w:val="0"/>
            </w:pPr>
            <w:r>
              <w:rPr>
                <w:sz w:val="24"/>
              </w:rPr>
            </w:r>
          </w:p>
        </w:tc>
        <w:tc>
          <w:tcPr>
            <w:tcW w:w="998" w:type="dxa"/>
          </w:tcPr>
          <w:p>
            <w:pPr>
              <w:pStyle w:val="0"/>
            </w:pPr>
            <w:r>
              <w:rPr>
                <w:sz w:val="24"/>
              </w:rPr>
            </w:r>
          </w:p>
        </w:tc>
        <w:tc>
          <w:tcPr>
            <w:tcW w:w="989" w:type="dxa"/>
          </w:tcPr>
          <w:p>
            <w:pPr>
              <w:pStyle w:val="0"/>
            </w:pPr>
            <w:r>
              <w:rPr>
                <w:sz w:val="24"/>
              </w:rPr>
            </w:r>
          </w:p>
        </w:tc>
        <w:tc>
          <w:tcPr>
            <w:tcW w:w="1061" w:type="dxa"/>
          </w:tcPr>
          <w:p>
            <w:pPr>
              <w:pStyle w:val="0"/>
            </w:pPr>
            <w:r>
              <w:rPr>
                <w:sz w:val="24"/>
              </w:rPr>
            </w:r>
          </w:p>
        </w:tc>
        <w:tc>
          <w:tcPr>
            <w:tcW w:w="1008" w:type="dxa"/>
          </w:tcPr>
          <w:p>
            <w:pPr>
              <w:pStyle w:val="0"/>
            </w:pPr>
            <w:r>
              <w:rPr>
                <w:sz w:val="24"/>
              </w:rPr>
            </w:r>
          </w:p>
        </w:tc>
        <w:tc>
          <w:tcPr>
            <w:tcW w:w="1701" w:type="dxa"/>
          </w:tcPr>
          <w:p>
            <w:pPr>
              <w:pStyle w:val="0"/>
            </w:pPr>
            <w:r>
              <w:rPr>
                <w:sz w:val="24"/>
              </w:rPr>
            </w:r>
          </w:p>
        </w:tc>
        <w:tc>
          <w:tcPr>
            <w:tcW w:w="1701" w:type="dxa"/>
          </w:tcPr>
          <w:p>
            <w:pPr>
              <w:pStyle w:val="0"/>
            </w:pPr>
            <w:r>
              <w:rPr>
                <w:sz w:val="24"/>
              </w:rPr>
            </w:r>
          </w:p>
        </w:tc>
        <w:tc>
          <w:tcPr>
            <w:tcW w:w="964" w:type="dxa"/>
          </w:tcPr>
          <w:p>
            <w:pPr>
              <w:pStyle w:val="0"/>
            </w:pPr>
            <w:r>
              <w:rPr>
                <w:sz w:val="24"/>
              </w:rPr>
            </w:r>
          </w:p>
        </w:tc>
        <w:tc>
          <w:tcPr>
            <w:tcW w:w="1027" w:type="dxa"/>
          </w:tcPr>
          <w:p>
            <w:pPr>
              <w:pStyle w:val="0"/>
            </w:pPr>
            <w:r>
              <w:rPr>
                <w:sz w:val="24"/>
              </w:rPr>
            </w:r>
          </w:p>
        </w:tc>
        <w:tc>
          <w:tcPr>
            <w:tcW w:w="950" w:type="dxa"/>
          </w:tcPr>
          <w:p>
            <w:pPr>
              <w:pStyle w:val="0"/>
            </w:pPr>
            <w:r>
              <w:rPr>
                <w:sz w:val="24"/>
              </w:rPr>
            </w:r>
          </w:p>
        </w:tc>
      </w:tr>
    </w:tbl>
    <w:p>
      <w:pPr>
        <w:sectPr>
          <w:headerReference w:type="default" r:id="rId8"/>
          <w:headerReference w:type="first" r:id="rId8"/>
          <w:footerReference w:type="default" r:id="rId9"/>
          <w:footerReference w:type="first" r:id="rId9"/>
          <w:pgSz w:w="16838" w:h="11906" w:orient="landscape"/>
          <w:pgMar w:top="1133" w:right="397" w:bottom="566" w:left="397"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right"/>
            </w:pPr>
            <w:r>
              <w:rPr>
                <w:sz w:val="24"/>
              </w:rPr>
              <w:t xml:space="preserve">(продолжение таблицы 1)</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1"/>
        <w:gridCol w:w="2268"/>
        <w:gridCol w:w="2665"/>
        <w:gridCol w:w="1247"/>
        <w:gridCol w:w="1020"/>
      </w:tblGrid>
      <w:tr>
        <w:tc>
          <w:tcPr>
            <w:tcW w:w="1871" w:type="dxa"/>
          </w:tcPr>
          <w:p>
            <w:pPr>
              <w:pStyle w:val="0"/>
              <w:jc w:val="center"/>
            </w:pPr>
            <w:r>
              <w:rPr>
                <w:sz w:val="24"/>
              </w:rPr>
              <w:t xml:space="preserve">Масса отходов, утилизированных в предыдущем отчетном периоде сверх норматива утилизации (М</w:t>
            </w:r>
            <w:r>
              <w:rPr>
                <w:sz w:val="24"/>
                <w:vertAlign w:val="subscript"/>
              </w:rPr>
              <w:t xml:space="preserve">пред.т.</w:t>
            </w:r>
            <w:r>
              <w:rPr>
                <w:sz w:val="24"/>
              </w:rPr>
              <w:t xml:space="preserve">), кг </w:t>
            </w:r>
            <w:hyperlink w:history="0" w:anchor="P819" w:tooltip="&lt;12&gt; Указывается масса отходов, утилизированных в предыдущем отчетном периоде сверх норматива утилизации (Мпред.т.), на основании сведений, содержащихся в отчетности о выполнении самостоятельной утилизации отходов от использования товаров за предыдущий отчетный период. В случае отсутствия таких данных в строке графы 15 ставится значение &quot;0&quot;.">
              <w:r>
                <w:rPr>
                  <w:sz w:val="24"/>
                  <w:color w:val="0000ff"/>
                </w:rPr>
                <w:t xml:space="preserve">&lt;12&gt;</w:t>
              </w:r>
            </w:hyperlink>
          </w:p>
        </w:tc>
        <w:tc>
          <w:tcPr>
            <w:tcW w:w="2268" w:type="dxa"/>
          </w:tcPr>
          <w:p>
            <w:pPr>
              <w:pStyle w:val="0"/>
              <w:jc w:val="center"/>
            </w:pPr>
            <w:r>
              <w:rPr>
                <w:sz w:val="24"/>
              </w:rPr>
              <w:t xml:space="preserve">Масса утилизированных отходов, засчитываемая в счет выполнения норматива утилизации в отчетном периоде (М</w:t>
            </w:r>
            <w:r>
              <w:rPr>
                <w:sz w:val="24"/>
                <w:vertAlign w:val="subscript"/>
              </w:rPr>
              <w:t xml:space="preserve">засч.т.</w:t>
            </w:r>
            <w:r>
              <w:rPr>
                <w:sz w:val="24"/>
              </w:rPr>
              <w:t xml:space="preserve">), кг </w:t>
            </w:r>
            <w:hyperlink w:history="0" w:anchor="P820" w:tooltip="&lt;13&gt; Указывается масса утилизированных отходов, засчитываемая в счет выполнения норматива утилизации в отчетном периоде (Мзасч.т.), определяется как разница между значениями Мут.т. (графа 6), и Мпред.т. (графа 15), и Мподл.ут.т. (графа 5).">
              <w:r>
                <w:rPr>
                  <w:sz w:val="24"/>
                  <w:color w:val="0000ff"/>
                </w:rPr>
                <w:t xml:space="preserve">&lt;13&gt;</w:t>
              </w:r>
            </w:hyperlink>
          </w:p>
        </w:tc>
        <w:tc>
          <w:tcPr>
            <w:tcW w:w="2665" w:type="dxa"/>
          </w:tcPr>
          <w:p>
            <w:pPr>
              <w:pStyle w:val="0"/>
              <w:jc w:val="center"/>
            </w:pPr>
            <w:r>
              <w:rPr>
                <w:sz w:val="24"/>
              </w:rPr>
              <w:t xml:space="preserve">Масса отходов, утилизированных в отчетном периоде сверх норматива утилизации, для учета при выполнении норматива утилизации в будущем отчетном периоде (М</w:t>
            </w:r>
            <w:r>
              <w:rPr>
                <w:sz w:val="24"/>
                <w:vertAlign w:val="subscript"/>
              </w:rPr>
              <w:t xml:space="preserve">буд.т.</w:t>
            </w:r>
            <w:r>
              <w:rPr>
                <w:sz w:val="24"/>
              </w:rPr>
              <w:t xml:space="preserve">), кг </w:t>
            </w:r>
            <w:hyperlink w:history="0" w:anchor="P824" w:tooltip="&lt;14&gt; Указывается масса отходов, утилизированных в отчетном периоде сверх норматива утилизации, для учета при выполнении норматива утилизации в будущем отчетном периоде (Мбуд.т.), определяется как разница между значениями Мут.т. (графа 6) и Мподл.ут.т. (графа 5).">
              <w:r>
                <w:rPr>
                  <w:sz w:val="24"/>
                  <w:color w:val="0000ff"/>
                </w:rPr>
                <w:t xml:space="preserve">&lt;14&gt;</w:t>
              </w:r>
            </w:hyperlink>
          </w:p>
        </w:tc>
        <w:tc>
          <w:tcPr>
            <w:tcW w:w="1247" w:type="dxa"/>
          </w:tcPr>
          <w:p>
            <w:pPr>
              <w:pStyle w:val="0"/>
              <w:jc w:val="center"/>
            </w:pPr>
            <w:r>
              <w:rPr>
                <w:sz w:val="24"/>
              </w:rPr>
              <w:t xml:space="preserve">Масса отходов, за которые необходимо уплатить экологический сбор (М</w:t>
            </w:r>
            <w:r>
              <w:rPr>
                <w:sz w:val="24"/>
                <w:vertAlign w:val="subscript"/>
              </w:rPr>
              <w:t xml:space="preserve">эс.т.</w:t>
            </w:r>
            <w:r>
              <w:rPr>
                <w:sz w:val="24"/>
              </w:rPr>
              <w:t xml:space="preserve">), кг </w:t>
            </w:r>
            <w:hyperlink w:history="0" w:anchor="P827" w:tooltip="&lt;15&gt; Указывается масса отходов, за которые необходимо уплатить экологический сбор (Мэс.т.), определяемая как разница между значением Мподл.ут.т. (графа 5) и значением Мзасч.т. (графа 16). В случае если полученное значение Мэс.т. меньше значения &quot;0&quot;, в строке графы 18 ставится значение &quot;0&quot;.">
              <w:r>
                <w:rPr>
                  <w:sz w:val="24"/>
                  <w:color w:val="0000ff"/>
                </w:rPr>
                <w:t xml:space="preserve">&lt;15&gt;</w:t>
              </w:r>
            </w:hyperlink>
          </w:p>
        </w:tc>
        <w:tc>
          <w:tcPr>
            <w:tcW w:w="1020" w:type="dxa"/>
          </w:tcPr>
          <w:p>
            <w:pPr>
              <w:pStyle w:val="0"/>
              <w:jc w:val="center"/>
            </w:pPr>
            <w:r>
              <w:rPr>
                <w:sz w:val="24"/>
              </w:rPr>
              <w:t xml:space="preserve">Примечание </w:t>
            </w:r>
            <w:hyperlink w:history="0" w:anchor="P828" w:tooltip="&lt;16&gt; Строка графы 19 таблицы 1 и строка графы 2 таблицы 2 заполняются при необходимости (на усмотрение импортера товара в случае необходимости представления разъяснений, дополнений и т.п.).">
              <w:r>
                <w:rPr>
                  <w:sz w:val="24"/>
                  <w:color w:val="0000ff"/>
                </w:rPr>
                <w:t xml:space="preserve">&lt;16&gt;</w:t>
              </w:r>
            </w:hyperlink>
          </w:p>
        </w:tc>
      </w:tr>
      <w:tr>
        <w:tc>
          <w:tcPr>
            <w:tcW w:w="1871" w:type="dxa"/>
          </w:tcPr>
          <w:bookmarkStart w:id="669" w:name="P669"/>
          <w:bookmarkEnd w:id="669"/>
          <w:p>
            <w:pPr>
              <w:pStyle w:val="0"/>
              <w:jc w:val="center"/>
            </w:pPr>
            <w:r>
              <w:rPr>
                <w:sz w:val="24"/>
              </w:rPr>
              <w:t xml:space="preserve">15</w:t>
            </w:r>
          </w:p>
        </w:tc>
        <w:tc>
          <w:tcPr>
            <w:tcW w:w="2268" w:type="dxa"/>
          </w:tcPr>
          <w:bookmarkStart w:id="670" w:name="P670"/>
          <w:bookmarkEnd w:id="670"/>
          <w:p>
            <w:pPr>
              <w:pStyle w:val="0"/>
              <w:jc w:val="center"/>
            </w:pPr>
            <w:r>
              <w:rPr>
                <w:sz w:val="24"/>
              </w:rPr>
              <w:t xml:space="preserve">16</w:t>
            </w:r>
          </w:p>
        </w:tc>
        <w:tc>
          <w:tcPr>
            <w:tcW w:w="2665" w:type="dxa"/>
          </w:tcPr>
          <w:bookmarkStart w:id="671" w:name="P671"/>
          <w:bookmarkEnd w:id="671"/>
          <w:p>
            <w:pPr>
              <w:pStyle w:val="0"/>
              <w:jc w:val="center"/>
            </w:pPr>
            <w:r>
              <w:rPr>
                <w:sz w:val="24"/>
              </w:rPr>
              <w:t xml:space="preserve">17</w:t>
            </w:r>
          </w:p>
        </w:tc>
        <w:tc>
          <w:tcPr>
            <w:tcW w:w="1247" w:type="dxa"/>
          </w:tcPr>
          <w:bookmarkStart w:id="672" w:name="P672"/>
          <w:bookmarkEnd w:id="672"/>
          <w:p>
            <w:pPr>
              <w:pStyle w:val="0"/>
              <w:jc w:val="center"/>
            </w:pPr>
            <w:r>
              <w:rPr>
                <w:sz w:val="24"/>
              </w:rPr>
              <w:t xml:space="preserve">18</w:t>
            </w:r>
          </w:p>
        </w:tc>
        <w:tc>
          <w:tcPr>
            <w:tcW w:w="1020" w:type="dxa"/>
          </w:tcPr>
          <w:bookmarkStart w:id="673" w:name="P673"/>
          <w:bookmarkEnd w:id="673"/>
          <w:p>
            <w:pPr>
              <w:pStyle w:val="0"/>
              <w:jc w:val="center"/>
            </w:pPr>
            <w:r>
              <w:rPr>
                <w:sz w:val="24"/>
              </w:rPr>
              <w:t xml:space="preserve">19</w:t>
            </w:r>
          </w:p>
        </w:tc>
      </w:tr>
      <w:tr>
        <w:tc>
          <w:tcPr>
            <w:gridSpan w:val="5"/>
            <w:tcW w:w="9071" w:type="dxa"/>
          </w:tcPr>
          <w:p>
            <w:pPr>
              <w:pStyle w:val="0"/>
            </w:pPr>
            <w:r>
              <w:rPr>
                <w:sz w:val="24"/>
              </w:rPr>
            </w:r>
          </w:p>
        </w:tc>
      </w:tr>
      <w:tr>
        <w:tc>
          <w:tcPr>
            <w:tcW w:w="1871" w:type="dxa"/>
          </w:tcPr>
          <w:p>
            <w:pPr>
              <w:pStyle w:val="0"/>
            </w:pPr>
            <w:r>
              <w:rPr>
                <w:sz w:val="24"/>
              </w:rPr>
            </w:r>
          </w:p>
        </w:tc>
        <w:tc>
          <w:tcPr>
            <w:tcW w:w="2268" w:type="dxa"/>
          </w:tcPr>
          <w:p>
            <w:pPr>
              <w:pStyle w:val="0"/>
            </w:pPr>
            <w:r>
              <w:rPr>
                <w:sz w:val="24"/>
              </w:rPr>
            </w:r>
          </w:p>
        </w:tc>
        <w:tc>
          <w:tcPr>
            <w:tcW w:w="2665" w:type="dxa"/>
          </w:tcPr>
          <w:p>
            <w:pPr>
              <w:pStyle w:val="0"/>
            </w:pPr>
            <w:r>
              <w:rPr>
                <w:sz w:val="24"/>
              </w:rPr>
            </w:r>
          </w:p>
        </w:tc>
        <w:tc>
          <w:tcPr>
            <w:tcW w:w="1247" w:type="dxa"/>
          </w:tcPr>
          <w:p>
            <w:pPr>
              <w:pStyle w:val="0"/>
            </w:pPr>
            <w:r>
              <w:rPr>
                <w:sz w:val="24"/>
              </w:rPr>
            </w:r>
          </w:p>
        </w:tc>
        <w:tc>
          <w:tcPr>
            <w:tcW w:w="1020" w:type="dxa"/>
          </w:tcPr>
          <w:p>
            <w:pPr>
              <w:pStyle w:val="0"/>
            </w:pPr>
            <w:r>
              <w:rPr>
                <w:sz w:val="24"/>
              </w:rPr>
            </w:r>
          </w:p>
        </w:tc>
      </w:tr>
      <w:tr>
        <w:tc>
          <w:tcPr>
            <w:tcW w:w="1871" w:type="dxa"/>
          </w:tcPr>
          <w:p>
            <w:pPr>
              <w:pStyle w:val="0"/>
            </w:pPr>
            <w:r>
              <w:rPr>
                <w:sz w:val="24"/>
              </w:rPr>
            </w:r>
          </w:p>
        </w:tc>
        <w:tc>
          <w:tcPr>
            <w:tcW w:w="2268" w:type="dxa"/>
          </w:tcPr>
          <w:p>
            <w:pPr>
              <w:pStyle w:val="0"/>
            </w:pPr>
            <w:r>
              <w:rPr>
                <w:sz w:val="24"/>
              </w:rPr>
            </w:r>
          </w:p>
        </w:tc>
        <w:tc>
          <w:tcPr>
            <w:tcW w:w="2665" w:type="dxa"/>
          </w:tcPr>
          <w:p>
            <w:pPr>
              <w:pStyle w:val="0"/>
            </w:pPr>
            <w:r>
              <w:rPr>
                <w:sz w:val="24"/>
              </w:rPr>
            </w:r>
          </w:p>
        </w:tc>
        <w:tc>
          <w:tcPr>
            <w:tcW w:w="1247" w:type="dxa"/>
          </w:tcPr>
          <w:p>
            <w:pPr>
              <w:pStyle w:val="0"/>
            </w:pPr>
            <w:r>
              <w:rPr>
                <w:sz w:val="24"/>
              </w:rPr>
            </w:r>
          </w:p>
        </w:tc>
        <w:tc>
          <w:tcPr>
            <w:tcW w:w="102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center"/>
            </w:pPr>
            <w:r>
              <w:rPr>
                <w:sz w:val="24"/>
              </w:rPr>
              <w:t xml:space="preserve">2. Информация об упаковке товаров, ввезенных на территорию Российской Федерации </w:t>
            </w:r>
            <w:hyperlink w:history="0" w:anchor="P829" w:tooltip="&lt;17&gt; В таблице 2 указываются номер и наименование группы упаковки товаров в соответствии с разделом III перечней товаров, упаковки, отходы от использования которых подлежат утилизации, утвержденных постановлением Правительства Российской Федерации от 29 декабря 2023 г. N 2414 &quot;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упаковки&quot;, а затем построчно позиции по упаковке товара - по каждому наименов...">
              <w:r>
                <w:rPr>
                  <w:sz w:val="24"/>
                  <w:color w:val="0000ff"/>
                </w:rPr>
                <w:t xml:space="preserve">&lt;17&gt;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688" w:name="P688"/>
          <w:bookmarkEnd w:id="688"/>
          <w:p>
            <w:pPr>
              <w:pStyle w:val="0"/>
              <w:outlineLvl w:val="4"/>
              <w:jc w:val="right"/>
            </w:pPr>
            <w:r>
              <w:rPr>
                <w:sz w:val="24"/>
              </w:rPr>
              <w:t xml:space="preserve">Таблица 2</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
        <w:gridCol w:w="845"/>
        <w:gridCol w:w="1133"/>
        <w:gridCol w:w="1133"/>
        <w:gridCol w:w="1118"/>
        <w:gridCol w:w="1205"/>
        <w:gridCol w:w="1166"/>
        <w:gridCol w:w="907"/>
        <w:gridCol w:w="816"/>
        <w:gridCol w:w="850"/>
        <w:gridCol w:w="850"/>
        <w:gridCol w:w="1614"/>
        <w:gridCol w:w="1615"/>
        <w:gridCol w:w="794"/>
        <w:gridCol w:w="737"/>
        <w:gridCol w:w="680"/>
      </w:tblGrid>
      <w:tr>
        <w:tc>
          <w:tcPr>
            <w:tcW w:w="453" w:type="dxa"/>
            <w:vMerge w:val="restart"/>
          </w:tcPr>
          <w:p>
            <w:pPr>
              <w:pStyle w:val="0"/>
              <w:jc w:val="center"/>
            </w:pPr>
            <w:r>
              <w:rPr>
                <w:sz w:val="24"/>
              </w:rPr>
              <w:t xml:space="preserve">N п/п</w:t>
            </w:r>
          </w:p>
        </w:tc>
        <w:tc>
          <w:tcPr>
            <w:tcW w:w="845" w:type="dxa"/>
            <w:vMerge w:val="restart"/>
          </w:tcPr>
          <w:p>
            <w:pPr>
              <w:pStyle w:val="0"/>
              <w:jc w:val="center"/>
            </w:pPr>
            <w:r>
              <w:rPr>
                <w:sz w:val="24"/>
              </w:rPr>
              <w:t xml:space="preserve">Наименование упаковки </w:t>
            </w:r>
            <w:hyperlink w:history="0" w:anchor="P829" w:tooltip="&lt;17&gt; В таблице 2 указываются номер и наименование группы упаковки товаров в соответствии с разделом III перечней товаров, упаковки, отходы от использования которых подлежат утилизации, утвержденных постановлением Правительства Российской Федерации от 29 декабря 2023 г. N 2414 &quot;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упаковки&quot;, а затем построчно позиции по упаковке товара - по каждому наименов...">
              <w:r>
                <w:rPr>
                  <w:sz w:val="24"/>
                  <w:color w:val="0000ff"/>
                </w:rPr>
                <w:t xml:space="preserve">&lt;17&gt;</w:t>
              </w:r>
            </w:hyperlink>
          </w:p>
        </w:tc>
        <w:tc>
          <w:tcPr>
            <w:tcW w:w="1133" w:type="dxa"/>
            <w:vMerge w:val="restart"/>
          </w:tcPr>
          <w:p>
            <w:pPr>
              <w:pStyle w:val="0"/>
              <w:jc w:val="center"/>
            </w:pPr>
            <w:r>
              <w:rPr>
                <w:sz w:val="24"/>
              </w:rPr>
              <w:t xml:space="preserve">Буквенное обозначение материала упаковки по техническому </w:t>
            </w:r>
            <w:r>
              <w:rPr>
                <w:sz w:val="24"/>
              </w:rPr>
              <w:t xml:space="preserve">регламенту</w:t>
            </w:r>
            <w:r>
              <w:rPr>
                <w:sz w:val="24"/>
              </w:rPr>
              <w:t xml:space="preserve"> Таможенного союза "О безопасности упаковки" (ТР ТС 005/2011) </w:t>
            </w:r>
            <w:hyperlink w:history="0" w:anchor="P830" w:tooltip="&lt;18&gt; Строки граф 3 - 6 заполняются импортером товара в зависимости от маркировки упаковки ввозимого товара в упаковке, позволяющей импортеру товара идентифицировать упаковку товара по буквенному обозначению и цифровому коду упаковки по техническому регламенту Таможенного союза &quot;О безопасности упаковки&quot; (ТР ТС 005/2011), и (или) по коду по Общероссийскому классификатору продукции по видам экономической деятельности ОК 034-2014 (КПЕС 2008), и (или) по коду единой Товарной номенклатуры внешнеэкономической д...">
              <w:r>
                <w:rPr>
                  <w:sz w:val="24"/>
                  <w:color w:val="0000ff"/>
                </w:rPr>
                <w:t xml:space="preserve">&lt;18&gt;</w:t>
              </w:r>
            </w:hyperlink>
          </w:p>
        </w:tc>
        <w:tc>
          <w:tcPr>
            <w:tcW w:w="1133" w:type="dxa"/>
            <w:vMerge w:val="restart"/>
          </w:tcPr>
          <w:p>
            <w:pPr>
              <w:pStyle w:val="0"/>
              <w:jc w:val="center"/>
            </w:pPr>
            <w:r>
              <w:rPr>
                <w:sz w:val="24"/>
              </w:rPr>
              <w:t xml:space="preserve">Цифровой код материала упаковки по техническому </w:t>
            </w:r>
            <w:r>
              <w:rPr>
                <w:sz w:val="24"/>
              </w:rPr>
              <w:t xml:space="preserve">регламенту</w:t>
            </w:r>
            <w:r>
              <w:rPr>
                <w:sz w:val="24"/>
              </w:rPr>
              <w:t xml:space="preserve"> Таможенного союза "О безопасности упаковки" (ТР ТС 005/2011) </w:t>
            </w:r>
            <w:hyperlink w:history="0" w:anchor="P830" w:tooltip="&lt;18&gt; Строки граф 3 - 6 заполняются импортером товара в зависимости от маркировки упаковки ввозимого товара в упаковке, позволяющей импортеру товара идентифицировать упаковку товара по буквенному обозначению и цифровому коду упаковки по техническому регламенту Таможенного союза &quot;О безопасности упаковки&quot; (ТР ТС 005/2011), и (или) по коду по Общероссийскому классификатору продукции по видам экономической деятельности ОК 034-2014 (КПЕС 2008), и (или) по коду единой Товарной номенклатуры внешнеэкономической д...">
              <w:r>
                <w:rPr>
                  <w:sz w:val="24"/>
                  <w:color w:val="0000ff"/>
                </w:rPr>
                <w:t xml:space="preserve">&lt;18&gt;</w:t>
              </w:r>
            </w:hyperlink>
          </w:p>
        </w:tc>
        <w:tc>
          <w:tcPr>
            <w:tcW w:w="1118" w:type="dxa"/>
            <w:vMerge w:val="restart"/>
          </w:tcPr>
          <w:p>
            <w:pPr>
              <w:pStyle w:val="0"/>
              <w:jc w:val="center"/>
            </w:pPr>
            <w:r>
              <w:rPr>
                <w:sz w:val="24"/>
              </w:rPr>
              <w:t xml:space="preserve">Код по Общероссийскому </w:t>
            </w:r>
            <w:r>
              <w:rPr>
                <w:sz w:val="24"/>
              </w:rPr>
              <w:t xml:space="preserve">классификатору</w:t>
            </w:r>
            <w:r>
              <w:rPr>
                <w:sz w:val="24"/>
              </w:rPr>
              <w:t xml:space="preserve"> продукции по видам экономической деятельности ОК 034-2014 (КПЕС 2008) </w:t>
            </w:r>
            <w:hyperlink w:history="0" w:anchor="P830" w:tooltip="&lt;18&gt; Строки граф 3 - 6 заполняются импортером товара в зависимости от маркировки упаковки ввозимого товара в упаковке, позволяющей импортеру товара идентифицировать упаковку товара по буквенному обозначению и цифровому коду упаковки по техническому регламенту Таможенного союза &quot;О безопасности упаковки&quot; (ТР ТС 005/2011), и (или) по коду по Общероссийскому классификатору продукции по видам экономической деятельности ОК 034-2014 (КПЕС 2008), и (или) по коду единой Товарной номенклатуры внешнеэкономической д...">
              <w:r>
                <w:rPr>
                  <w:sz w:val="24"/>
                  <w:color w:val="0000ff"/>
                </w:rPr>
                <w:t xml:space="preserve">&lt;18&gt;</w:t>
              </w:r>
            </w:hyperlink>
          </w:p>
        </w:tc>
        <w:tc>
          <w:tcPr>
            <w:tcW w:w="1205" w:type="dxa"/>
            <w:vMerge w:val="restart"/>
          </w:tcPr>
          <w:p>
            <w:pPr>
              <w:pStyle w:val="0"/>
              <w:jc w:val="center"/>
            </w:pPr>
            <w:r>
              <w:rPr>
                <w:sz w:val="24"/>
              </w:rPr>
              <w:t xml:space="preserve">Код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 </w:t>
            </w:r>
            <w:hyperlink w:history="0" w:anchor="P830" w:tooltip="&lt;18&gt; Строки граф 3 - 6 заполняются импортером товара в зависимости от маркировки упаковки ввозимого товара в упаковке, позволяющей импортеру товара идентифицировать упаковку товара по буквенному обозначению и цифровому коду упаковки по техническому регламенту Таможенного союза &quot;О безопасности упаковки&quot; (ТР ТС 005/2011), и (или) по коду по Общероссийскому классификатору продукции по видам экономической деятельности ОК 034-2014 (КПЕС 2008), и (или) по коду единой Товарной номенклатуры внешнеэкономической д...">
              <w:r>
                <w:rPr>
                  <w:sz w:val="24"/>
                  <w:color w:val="0000ff"/>
                </w:rPr>
                <w:t xml:space="preserve">&lt;18&gt;</w:t>
              </w:r>
            </w:hyperlink>
          </w:p>
        </w:tc>
        <w:tc>
          <w:tcPr>
            <w:tcW w:w="1166" w:type="dxa"/>
            <w:vMerge w:val="restart"/>
          </w:tcPr>
          <w:p>
            <w:pPr>
              <w:pStyle w:val="0"/>
              <w:jc w:val="center"/>
            </w:pPr>
            <w:r>
              <w:rPr>
                <w:sz w:val="24"/>
              </w:rPr>
              <w:t xml:space="preserve">Масса отходов от использования упаковки, подлежащих утилизации (с учетом норматива утилизации) (М</w:t>
            </w:r>
            <w:r>
              <w:rPr>
                <w:sz w:val="24"/>
                <w:vertAlign w:val="subscript"/>
              </w:rPr>
              <w:t xml:space="preserve">подл.ут.уп.</w:t>
            </w:r>
            <w:r>
              <w:rPr>
                <w:sz w:val="24"/>
              </w:rPr>
              <w:t xml:space="preserve">), кг </w:t>
            </w:r>
            <w:hyperlink w:history="0" w:anchor="P831" w:tooltip="&lt;19&gt; Указывается масса отходов от использования упаковки, подлежащих утилизации в отчетном периоде, с учетом норматива утилизации (Мподл.ут.уп.). Строка графы 7 подлежит автоматическому заполнению в соответствии со значениями массы отходов от использования упаковки, в отношении которых сохраняется обязанность обеспечить утилизацию, представленными импортером товара в строке графы 19 таблицы 2 раздела II отчетности о массе товаров, упаковки, ввезенных из государств, не являющихся членами Евразийского экон...">
              <w:r>
                <w:rPr>
                  <w:sz w:val="24"/>
                  <w:color w:val="0000ff"/>
                </w:rPr>
                <w:t xml:space="preserve">&lt;19&gt;</w:t>
              </w:r>
            </w:hyperlink>
          </w:p>
        </w:tc>
        <w:tc>
          <w:tcPr>
            <w:gridSpan w:val="9"/>
            <w:tcW w:w="8863" w:type="dxa"/>
          </w:tcPr>
          <w:p>
            <w:pPr>
              <w:pStyle w:val="0"/>
              <w:jc w:val="center"/>
            </w:pPr>
            <w:r>
              <w:rPr>
                <w:sz w:val="24"/>
              </w:rPr>
              <w:t xml:space="preserve">Информация об отходах от использования упаковки, утилизированных в отчетном периоде</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07" w:type="dxa"/>
          </w:tcPr>
          <w:p>
            <w:pPr>
              <w:pStyle w:val="0"/>
              <w:jc w:val="center"/>
            </w:pPr>
            <w:r>
              <w:rPr>
                <w:sz w:val="24"/>
              </w:rPr>
              <w:t xml:space="preserve">масса отходов, утилизированных в отчетном периоде, всего (М</w:t>
            </w:r>
            <w:r>
              <w:rPr>
                <w:sz w:val="24"/>
                <w:vertAlign w:val="subscript"/>
              </w:rPr>
              <w:t xml:space="preserve">ут.уп.</w:t>
            </w:r>
            <w:r>
              <w:rPr>
                <w:sz w:val="24"/>
              </w:rPr>
              <w:t xml:space="preserve">), кг </w:t>
            </w:r>
            <w:hyperlink w:history="0" w:anchor="P832" w:tooltip="&lt;20&gt; Указывается общая масса утилизированных отходов от использования упаковки и (или) использованного вторичного сырья, полученного из таких отходов, при производстве товаров (продукции) в отчетном периоде (Мут.уп.) в целях исполнения импортерами товара обязанности по обеспечению самостоятельной утилизации отходов от использования упаковки, сведения о которой указаны в строках граф 2 - 6, в соответствии с перечнем-конвертером. Определяется как сумма значений в строках граф 10 и 11. Строка графы 8 заполн...">
              <w:r>
                <w:rPr>
                  <w:sz w:val="24"/>
                  <w:color w:val="0000ff"/>
                </w:rPr>
                <w:t xml:space="preserve">&lt;20&gt;</w:t>
              </w:r>
            </w:hyperlink>
          </w:p>
        </w:tc>
        <w:tc>
          <w:tcPr>
            <w:tcW w:w="816" w:type="dxa"/>
          </w:tcPr>
          <w:p>
            <w:pPr>
              <w:pStyle w:val="0"/>
              <w:jc w:val="center"/>
            </w:pPr>
            <w:r>
              <w:rPr>
                <w:sz w:val="24"/>
              </w:rPr>
              <w:t xml:space="preserve">номер реестровой записи в реестре утилизаторов </w:t>
            </w:r>
            <w:hyperlink w:history="0" w:anchor="P810" w:tooltip="&lt;6&gt; Указывается номер реестровой записи в реестре юридических лиц, индивидуальных предпринимателей, осуществляющих утилизацию отходов от использования товаров (далее - реестр утилизаторов), импортера товара (в случае осуществления им утилизации отходов от использования товаров самостоятельно путем использования собственной инфраструктуры по утилизации отходов от использования товаров) и (или) юридических лиц, индивидуальных предпринимателей, осуществляющих утилизацию отходов от использования товаров, с к...">
              <w:r>
                <w:rPr>
                  <w:sz w:val="24"/>
                  <w:color w:val="0000ff"/>
                </w:rPr>
                <w:t xml:space="preserve">&lt;6&gt;</w:t>
              </w:r>
            </w:hyperlink>
          </w:p>
        </w:tc>
        <w:tc>
          <w:tcPr>
            <w:tcW w:w="850" w:type="dxa"/>
          </w:tcPr>
          <w:p>
            <w:pPr>
              <w:pStyle w:val="0"/>
              <w:jc w:val="center"/>
            </w:pPr>
            <w:r>
              <w:rPr>
                <w:sz w:val="24"/>
              </w:rPr>
              <w:t xml:space="preserve">масса отходов, утилизированных самостоятельно, кг </w:t>
            </w:r>
            <w:hyperlink w:history="0" w:anchor="P833" w:tooltip="&lt;21&gt; Указывается масса утилизированных отходов от использования упаковки и (или) использованного вторичного сырья, полученного из таких отходов, при производстве товаров (продукции) в отчетном периоде импортером товара самостоятельно. В случае отсутствия таких данных в строке графы 10 ставится значение &quot;0&quot;.">
              <w:r>
                <w:rPr>
                  <w:sz w:val="24"/>
                  <w:color w:val="0000ff"/>
                </w:rPr>
                <w:t xml:space="preserve">&lt;21&gt;</w:t>
              </w:r>
            </w:hyperlink>
          </w:p>
        </w:tc>
        <w:tc>
          <w:tcPr>
            <w:tcW w:w="850" w:type="dxa"/>
          </w:tcPr>
          <w:p>
            <w:pPr>
              <w:pStyle w:val="0"/>
              <w:jc w:val="center"/>
            </w:pPr>
            <w:r>
              <w:rPr>
                <w:sz w:val="24"/>
              </w:rPr>
              <w:t xml:space="preserve">масса отходов, утилизированных другими лицами, кг </w:t>
            </w:r>
            <w:hyperlink w:history="0" w:anchor="P834" w:tooltip="&lt;22&gt; Указывается масса утилизированных отходов от использования упаковки и (или) использованного вторичного сырья, полученного из отходов от использования товаров, при производстве товаров (продукции) в отчетном периоде юридическими лицами, индивидуальными предпринимателями, осуществляющими утилизацию отходов от использования товаров, включенными в реестр утилизаторов, и с которыми импортером товара заключены договоры с утилизаторами. В случае отсутствия таких данных в строке графы 11 ставится значение &quot;0&quot;.">
              <w:r>
                <w:rPr>
                  <w:sz w:val="24"/>
                  <w:color w:val="0000ff"/>
                </w:rPr>
                <w:t xml:space="preserve">&lt;22&gt;</w:t>
              </w:r>
            </w:hyperlink>
          </w:p>
        </w:tc>
        <w:tc>
          <w:tcPr>
            <w:tcW w:w="1614" w:type="dxa"/>
          </w:tcPr>
          <w:p>
            <w:pPr>
              <w:pStyle w:val="0"/>
              <w:jc w:val="center"/>
            </w:pPr>
            <w:r>
              <w:rPr>
                <w:sz w:val="24"/>
              </w:rPr>
              <w:t xml:space="preserve">наименование произведенного товара (продукции) по Общероссийскому </w:t>
            </w:r>
            <w:r>
              <w:rPr>
                <w:sz w:val="24"/>
              </w:rPr>
              <w:t xml:space="preserve">классификатору</w:t>
            </w:r>
            <w:r>
              <w:rPr>
                <w:sz w:val="24"/>
              </w:rPr>
              <w:t xml:space="preserve"> продукции по видам экономической деятельности ОК 034-2014 (КПЕС 2008) </w:t>
            </w:r>
            <w:hyperlink w:history="0" w:anchor="P813" w:tooltip="&lt;9&gt; Указываются наименование и код произведенного товара (продукции) по Общероссийскому классификатору продукции по видам экономической деятельности ОК 034-2014 (КПЕС 2008), произведенного при утилизации отходов от использования товаров, использовании вторичного сырья, полученного из отходов от использования таких товаров, в соответствии с перечнем-конвертером. Заполняется на основании сведений, содержащихся в актах утилизации отходов от использования товаров (далее - акт утилизации отходов).">
              <w:r>
                <w:rPr>
                  <w:sz w:val="24"/>
                  <w:color w:val="0000ff"/>
                </w:rPr>
                <w:t xml:space="preserve">&lt;9&gt;</w:t>
              </w:r>
            </w:hyperlink>
          </w:p>
        </w:tc>
        <w:tc>
          <w:tcPr>
            <w:tcW w:w="1615" w:type="dxa"/>
          </w:tcPr>
          <w:p>
            <w:pPr>
              <w:pStyle w:val="0"/>
              <w:jc w:val="center"/>
            </w:pPr>
            <w:r>
              <w:rPr>
                <w:sz w:val="24"/>
              </w:rPr>
              <w:t xml:space="preserve">код произведенного товара (продукции) по Общероссийскому </w:t>
            </w:r>
            <w:r>
              <w:rPr>
                <w:sz w:val="24"/>
              </w:rPr>
              <w:t xml:space="preserve">классификатору</w:t>
            </w:r>
            <w:r>
              <w:rPr>
                <w:sz w:val="24"/>
              </w:rPr>
              <w:t xml:space="preserve"> продукции по видам экономической деятельности ОК 034-2014 (КПЕС 2008) </w:t>
            </w:r>
            <w:hyperlink w:history="0" w:anchor="P813" w:tooltip="&lt;9&gt; Указываются наименование и код произведенного товара (продукции) по Общероссийскому классификатору продукции по видам экономической деятельности ОК 034-2014 (КПЕС 2008), произведенного при утилизации отходов от использования товаров, использовании вторичного сырья, полученного из отходов от использования таких товаров, в соответствии с перечнем-конвертером. Заполняется на основании сведений, содержащихся в актах утилизации отходов от использования товаров (далее - акт утилизации отходов).">
              <w:r>
                <w:rPr>
                  <w:sz w:val="24"/>
                  <w:color w:val="0000ff"/>
                </w:rPr>
                <w:t xml:space="preserve">&lt;9&gt;</w:t>
              </w:r>
            </w:hyperlink>
          </w:p>
        </w:tc>
        <w:tc>
          <w:tcPr>
            <w:tcW w:w="794" w:type="dxa"/>
          </w:tcPr>
          <w:p>
            <w:pPr>
              <w:pStyle w:val="0"/>
              <w:jc w:val="center"/>
            </w:pPr>
            <w:r>
              <w:rPr>
                <w:sz w:val="24"/>
              </w:rPr>
              <w:t xml:space="preserve">масса произведенного товара, кг </w:t>
            </w:r>
            <w:hyperlink w:history="0" w:anchor="P835" w:tooltip="&lt;23&gt; Указывается масса произведенного товара (продукции), сведения о котором указаны в строках граф 12 и 13, произведенного с использованием отходов от использования упаковки, сведения о которой указаны в строках граф 2 - 6, вторичного сырья, полученного из таких отходов. Заполняется на основании сведений, содержащихся в актах утилизации отходов.">
              <w:r>
                <w:rPr>
                  <w:sz w:val="24"/>
                  <w:color w:val="0000ff"/>
                </w:rPr>
                <w:t xml:space="preserve">&lt;23&gt;</w:t>
              </w:r>
            </w:hyperlink>
          </w:p>
        </w:tc>
        <w:tc>
          <w:tcPr>
            <w:tcW w:w="737" w:type="dxa"/>
          </w:tcPr>
          <w:p>
            <w:pPr>
              <w:pStyle w:val="0"/>
              <w:jc w:val="center"/>
            </w:pPr>
            <w:r>
              <w:rPr>
                <w:sz w:val="24"/>
              </w:rPr>
              <w:t xml:space="preserve">реквизиты актов утилизации отходов </w:t>
            </w:r>
            <w:hyperlink w:history="0" w:anchor="P815" w:tooltip="&lt;11&gt; Приводятся следующие сведения:">
              <w:r>
                <w:rPr>
                  <w:sz w:val="24"/>
                  <w:color w:val="0000ff"/>
                </w:rPr>
                <w:t xml:space="preserve">&lt;11&gt;</w:t>
              </w:r>
            </w:hyperlink>
          </w:p>
        </w:tc>
        <w:tc>
          <w:tcPr>
            <w:tcW w:w="680" w:type="dxa"/>
          </w:tcPr>
          <w:p>
            <w:pPr>
              <w:pStyle w:val="0"/>
              <w:jc w:val="center"/>
            </w:pPr>
            <w:r>
              <w:rPr>
                <w:sz w:val="24"/>
              </w:rPr>
              <w:t xml:space="preserve">реквизиты договоров </w:t>
            </w:r>
            <w:hyperlink w:history="0" w:anchor="P815" w:tooltip="&lt;11&gt; Приводятся следующие сведения:">
              <w:r>
                <w:rPr>
                  <w:sz w:val="24"/>
                  <w:color w:val="0000ff"/>
                </w:rPr>
                <w:t xml:space="preserve">&lt;11&gt;</w:t>
              </w:r>
            </w:hyperlink>
          </w:p>
        </w:tc>
      </w:tr>
      <w:tr>
        <w:tc>
          <w:tcPr>
            <w:tcW w:w="453" w:type="dxa"/>
          </w:tcPr>
          <w:p>
            <w:pPr>
              <w:pStyle w:val="0"/>
              <w:jc w:val="center"/>
            </w:pPr>
            <w:r>
              <w:rPr>
                <w:sz w:val="24"/>
              </w:rPr>
              <w:t xml:space="preserve">1</w:t>
            </w:r>
          </w:p>
        </w:tc>
        <w:tc>
          <w:tcPr>
            <w:tcW w:w="845" w:type="dxa"/>
          </w:tcPr>
          <w:bookmarkStart w:id="708" w:name="P708"/>
          <w:bookmarkEnd w:id="708"/>
          <w:p>
            <w:pPr>
              <w:pStyle w:val="0"/>
              <w:jc w:val="center"/>
            </w:pPr>
            <w:r>
              <w:rPr>
                <w:sz w:val="24"/>
              </w:rPr>
              <w:t xml:space="preserve">2</w:t>
            </w:r>
          </w:p>
        </w:tc>
        <w:tc>
          <w:tcPr>
            <w:tcW w:w="1133" w:type="dxa"/>
          </w:tcPr>
          <w:bookmarkStart w:id="709" w:name="P709"/>
          <w:bookmarkEnd w:id="709"/>
          <w:p>
            <w:pPr>
              <w:pStyle w:val="0"/>
              <w:jc w:val="center"/>
            </w:pPr>
            <w:r>
              <w:rPr>
                <w:sz w:val="24"/>
              </w:rPr>
              <w:t xml:space="preserve">3</w:t>
            </w:r>
          </w:p>
        </w:tc>
        <w:tc>
          <w:tcPr>
            <w:tcW w:w="1133" w:type="dxa"/>
          </w:tcPr>
          <w:p>
            <w:pPr>
              <w:pStyle w:val="0"/>
              <w:jc w:val="center"/>
            </w:pPr>
            <w:r>
              <w:rPr>
                <w:sz w:val="24"/>
              </w:rPr>
              <w:t xml:space="preserve">4</w:t>
            </w:r>
          </w:p>
        </w:tc>
        <w:tc>
          <w:tcPr>
            <w:tcW w:w="1118" w:type="dxa"/>
          </w:tcPr>
          <w:p>
            <w:pPr>
              <w:pStyle w:val="0"/>
              <w:jc w:val="center"/>
            </w:pPr>
            <w:r>
              <w:rPr>
                <w:sz w:val="24"/>
              </w:rPr>
              <w:t xml:space="preserve">5</w:t>
            </w:r>
          </w:p>
        </w:tc>
        <w:tc>
          <w:tcPr>
            <w:tcW w:w="1205" w:type="dxa"/>
          </w:tcPr>
          <w:bookmarkStart w:id="712" w:name="P712"/>
          <w:bookmarkEnd w:id="712"/>
          <w:p>
            <w:pPr>
              <w:pStyle w:val="0"/>
              <w:jc w:val="center"/>
            </w:pPr>
            <w:r>
              <w:rPr>
                <w:sz w:val="24"/>
              </w:rPr>
              <w:t xml:space="preserve">6</w:t>
            </w:r>
          </w:p>
        </w:tc>
        <w:tc>
          <w:tcPr>
            <w:tcW w:w="1166" w:type="dxa"/>
          </w:tcPr>
          <w:bookmarkStart w:id="713" w:name="P713"/>
          <w:bookmarkEnd w:id="713"/>
          <w:p>
            <w:pPr>
              <w:pStyle w:val="0"/>
              <w:jc w:val="center"/>
            </w:pPr>
            <w:r>
              <w:rPr>
                <w:sz w:val="24"/>
              </w:rPr>
              <w:t xml:space="preserve">7</w:t>
            </w:r>
          </w:p>
        </w:tc>
        <w:tc>
          <w:tcPr>
            <w:tcW w:w="907" w:type="dxa"/>
          </w:tcPr>
          <w:bookmarkStart w:id="714" w:name="P714"/>
          <w:bookmarkEnd w:id="714"/>
          <w:p>
            <w:pPr>
              <w:pStyle w:val="0"/>
              <w:jc w:val="center"/>
            </w:pPr>
            <w:r>
              <w:rPr>
                <w:sz w:val="24"/>
              </w:rPr>
              <w:t xml:space="preserve">8</w:t>
            </w:r>
          </w:p>
        </w:tc>
        <w:tc>
          <w:tcPr>
            <w:tcW w:w="816" w:type="dxa"/>
          </w:tcPr>
          <w:p>
            <w:pPr>
              <w:pStyle w:val="0"/>
              <w:jc w:val="center"/>
            </w:pPr>
            <w:r>
              <w:rPr>
                <w:sz w:val="24"/>
              </w:rPr>
              <w:t xml:space="preserve">9</w:t>
            </w:r>
          </w:p>
        </w:tc>
        <w:tc>
          <w:tcPr>
            <w:tcW w:w="850" w:type="dxa"/>
          </w:tcPr>
          <w:bookmarkStart w:id="716" w:name="P716"/>
          <w:bookmarkEnd w:id="716"/>
          <w:p>
            <w:pPr>
              <w:pStyle w:val="0"/>
              <w:jc w:val="center"/>
            </w:pPr>
            <w:r>
              <w:rPr>
                <w:sz w:val="24"/>
              </w:rPr>
              <w:t xml:space="preserve">10</w:t>
            </w:r>
          </w:p>
        </w:tc>
        <w:tc>
          <w:tcPr>
            <w:tcW w:w="850" w:type="dxa"/>
          </w:tcPr>
          <w:bookmarkStart w:id="717" w:name="P717"/>
          <w:bookmarkEnd w:id="717"/>
          <w:p>
            <w:pPr>
              <w:pStyle w:val="0"/>
              <w:jc w:val="center"/>
            </w:pPr>
            <w:r>
              <w:rPr>
                <w:sz w:val="24"/>
              </w:rPr>
              <w:t xml:space="preserve">11</w:t>
            </w:r>
          </w:p>
        </w:tc>
        <w:tc>
          <w:tcPr>
            <w:tcW w:w="1614" w:type="dxa"/>
          </w:tcPr>
          <w:bookmarkStart w:id="718" w:name="P718"/>
          <w:bookmarkEnd w:id="718"/>
          <w:p>
            <w:pPr>
              <w:pStyle w:val="0"/>
              <w:jc w:val="center"/>
            </w:pPr>
            <w:r>
              <w:rPr>
                <w:sz w:val="24"/>
              </w:rPr>
              <w:t xml:space="preserve">12</w:t>
            </w:r>
          </w:p>
        </w:tc>
        <w:tc>
          <w:tcPr>
            <w:tcW w:w="1615" w:type="dxa"/>
          </w:tcPr>
          <w:bookmarkStart w:id="719" w:name="P719"/>
          <w:bookmarkEnd w:id="719"/>
          <w:p>
            <w:pPr>
              <w:pStyle w:val="0"/>
              <w:jc w:val="center"/>
            </w:pPr>
            <w:r>
              <w:rPr>
                <w:sz w:val="24"/>
              </w:rPr>
              <w:t xml:space="preserve">13</w:t>
            </w:r>
          </w:p>
        </w:tc>
        <w:tc>
          <w:tcPr>
            <w:tcW w:w="794" w:type="dxa"/>
          </w:tcPr>
          <w:p>
            <w:pPr>
              <w:pStyle w:val="0"/>
              <w:jc w:val="center"/>
            </w:pPr>
            <w:r>
              <w:rPr>
                <w:sz w:val="24"/>
              </w:rPr>
              <w:t xml:space="preserve">14</w:t>
            </w:r>
          </w:p>
        </w:tc>
        <w:tc>
          <w:tcPr>
            <w:tcW w:w="737" w:type="dxa"/>
          </w:tcPr>
          <w:p>
            <w:pPr>
              <w:pStyle w:val="0"/>
              <w:jc w:val="center"/>
            </w:pPr>
            <w:r>
              <w:rPr>
                <w:sz w:val="24"/>
              </w:rPr>
              <w:t xml:space="preserve">15</w:t>
            </w:r>
          </w:p>
        </w:tc>
        <w:tc>
          <w:tcPr>
            <w:tcW w:w="680" w:type="dxa"/>
          </w:tcPr>
          <w:p>
            <w:pPr>
              <w:pStyle w:val="0"/>
              <w:jc w:val="center"/>
            </w:pPr>
            <w:r>
              <w:rPr>
                <w:sz w:val="24"/>
              </w:rPr>
              <w:t xml:space="preserve">16</w:t>
            </w:r>
          </w:p>
        </w:tc>
      </w:tr>
      <w:tr>
        <w:tc>
          <w:tcPr>
            <w:tcW w:w="453" w:type="dxa"/>
          </w:tcPr>
          <w:p>
            <w:pPr>
              <w:pStyle w:val="0"/>
            </w:pPr>
            <w:r>
              <w:rPr>
                <w:sz w:val="24"/>
              </w:rPr>
            </w:r>
          </w:p>
        </w:tc>
        <w:tc>
          <w:tcPr>
            <w:gridSpan w:val="15"/>
            <w:tcW w:w="15463" w:type="dxa"/>
          </w:tcPr>
          <w:p>
            <w:pPr>
              <w:pStyle w:val="0"/>
              <w:jc w:val="center"/>
            </w:pPr>
            <w:r>
              <w:rPr>
                <w:sz w:val="24"/>
              </w:rPr>
              <w:t xml:space="preserve">группа N ...</w:t>
            </w:r>
          </w:p>
        </w:tc>
      </w:tr>
      <w:tr>
        <w:tc>
          <w:tcPr>
            <w:tcW w:w="453" w:type="dxa"/>
          </w:tcPr>
          <w:p>
            <w:pPr>
              <w:pStyle w:val="0"/>
            </w:pPr>
            <w:r>
              <w:rPr>
                <w:sz w:val="24"/>
              </w:rPr>
            </w:r>
          </w:p>
        </w:tc>
        <w:tc>
          <w:tcPr>
            <w:tcW w:w="845" w:type="dxa"/>
          </w:tcPr>
          <w:p>
            <w:pPr>
              <w:pStyle w:val="0"/>
              <w:jc w:val="center"/>
            </w:pPr>
            <w:r>
              <w:rPr>
                <w:sz w:val="24"/>
              </w:rPr>
              <w:t xml:space="preserve">...</w:t>
            </w:r>
          </w:p>
        </w:tc>
        <w:tc>
          <w:tcPr>
            <w:tcW w:w="1133" w:type="dxa"/>
          </w:tcPr>
          <w:p>
            <w:pPr>
              <w:pStyle w:val="0"/>
            </w:pPr>
            <w:r>
              <w:rPr>
                <w:sz w:val="24"/>
              </w:rPr>
            </w:r>
          </w:p>
        </w:tc>
        <w:tc>
          <w:tcPr>
            <w:tcW w:w="1133" w:type="dxa"/>
          </w:tcPr>
          <w:p>
            <w:pPr>
              <w:pStyle w:val="0"/>
            </w:pPr>
            <w:r>
              <w:rPr>
                <w:sz w:val="24"/>
              </w:rPr>
            </w:r>
          </w:p>
        </w:tc>
        <w:tc>
          <w:tcPr>
            <w:tcW w:w="1118" w:type="dxa"/>
          </w:tcPr>
          <w:p>
            <w:pPr>
              <w:pStyle w:val="0"/>
            </w:pPr>
            <w:r>
              <w:rPr>
                <w:sz w:val="24"/>
              </w:rPr>
            </w:r>
          </w:p>
        </w:tc>
        <w:tc>
          <w:tcPr>
            <w:tcW w:w="1205" w:type="dxa"/>
          </w:tcPr>
          <w:p>
            <w:pPr>
              <w:pStyle w:val="0"/>
            </w:pPr>
            <w:r>
              <w:rPr>
                <w:sz w:val="24"/>
              </w:rPr>
            </w:r>
          </w:p>
        </w:tc>
        <w:tc>
          <w:tcPr>
            <w:tcW w:w="1166" w:type="dxa"/>
          </w:tcPr>
          <w:p>
            <w:pPr>
              <w:pStyle w:val="0"/>
            </w:pPr>
            <w:r>
              <w:rPr>
                <w:sz w:val="24"/>
              </w:rPr>
            </w:r>
          </w:p>
        </w:tc>
        <w:tc>
          <w:tcPr>
            <w:tcW w:w="907" w:type="dxa"/>
          </w:tcPr>
          <w:p>
            <w:pPr>
              <w:pStyle w:val="0"/>
            </w:pPr>
            <w:r>
              <w:rPr>
                <w:sz w:val="24"/>
              </w:rPr>
            </w:r>
          </w:p>
        </w:tc>
        <w:tc>
          <w:tcPr>
            <w:tcW w:w="816"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614" w:type="dxa"/>
          </w:tcPr>
          <w:p>
            <w:pPr>
              <w:pStyle w:val="0"/>
            </w:pPr>
            <w:r>
              <w:rPr>
                <w:sz w:val="24"/>
              </w:rPr>
            </w:r>
          </w:p>
        </w:tc>
        <w:tc>
          <w:tcPr>
            <w:tcW w:w="1615" w:type="dxa"/>
          </w:tcPr>
          <w:p>
            <w:pPr>
              <w:pStyle w:val="0"/>
            </w:pPr>
            <w:r>
              <w:rPr>
                <w:sz w:val="24"/>
              </w:rPr>
            </w:r>
          </w:p>
        </w:tc>
        <w:tc>
          <w:tcPr>
            <w:tcW w:w="794" w:type="dxa"/>
          </w:tcPr>
          <w:p>
            <w:pPr>
              <w:pStyle w:val="0"/>
            </w:pPr>
            <w:r>
              <w:rPr>
                <w:sz w:val="24"/>
              </w:rPr>
            </w:r>
          </w:p>
        </w:tc>
        <w:tc>
          <w:tcPr>
            <w:tcW w:w="737" w:type="dxa"/>
          </w:tcPr>
          <w:p>
            <w:pPr>
              <w:pStyle w:val="0"/>
            </w:pPr>
            <w:r>
              <w:rPr>
                <w:sz w:val="24"/>
              </w:rPr>
            </w:r>
          </w:p>
        </w:tc>
        <w:tc>
          <w:tcPr>
            <w:tcW w:w="680" w:type="dxa"/>
          </w:tcPr>
          <w:p>
            <w:pPr>
              <w:pStyle w:val="0"/>
            </w:pPr>
            <w:r>
              <w:rPr>
                <w:sz w:val="24"/>
              </w:rPr>
            </w:r>
          </w:p>
        </w:tc>
      </w:tr>
      <w:tr>
        <w:tc>
          <w:tcPr>
            <w:tcW w:w="453" w:type="dxa"/>
          </w:tcPr>
          <w:p>
            <w:pPr>
              <w:pStyle w:val="0"/>
            </w:pPr>
            <w:r>
              <w:rPr>
                <w:sz w:val="24"/>
              </w:rPr>
            </w:r>
          </w:p>
        </w:tc>
        <w:tc>
          <w:tcPr>
            <w:tcW w:w="845" w:type="dxa"/>
          </w:tcPr>
          <w:p>
            <w:pPr>
              <w:pStyle w:val="0"/>
            </w:pPr>
            <w:r>
              <w:rPr>
                <w:sz w:val="24"/>
              </w:rPr>
            </w:r>
          </w:p>
        </w:tc>
        <w:tc>
          <w:tcPr>
            <w:tcW w:w="1133" w:type="dxa"/>
          </w:tcPr>
          <w:p>
            <w:pPr>
              <w:pStyle w:val="0"/>
            </w:pPr>
            <w:r>
              <w:rPr>
                <w:sz w:val="24"/>
              </w:rPr>
            </w:r>
          </w:p>
        </w:tc>
        <w:tc>
          <w:tcPr>
            <w:tcW w:w="1133" w:type="dxa"/>
          </w:tcPr>
          <w:p>
            <w:pPr>
              <w:pStyle w:val="0"/>
            </w:pPr>
            <w:r>
              <w:rPr>
                <w:sz w:val="24"/>
              </w:rPr>
            </w:r>
          </w:p>
        </w:tc>
        <w:tc>
          <w:tcPr>
            <w:tcW w:w="1118" w:type="dxa"/>
          </w:tcPr>
          <w:p>
            <w:pPr>
              <w:pStyle w:val="0"/>
            </w:pPr>
            <w:r>
              <w:rPr>
                <w:sz w:val="24"/>
              </w:rPr>
            </w:r>
          </w:p>
        </w:tc>
        <w:tc>
          <w:tcPr>
            <w:tcW w:w="1205" w:type="dxa"/>
          </w:tcPr>
          <w:p>
            <w:pPr>
              <w:pStyle w:val="0"/>
            </w:pPr>
            <w:r>
              <w:rPr>
                <w:sz w:val="24"/>
              </w:rPr>
            </w:r>
          </w:p>
        </w:tc>
        <w:tc>
          <w:tcPr>
            <w:tcW w:w="1166" w:type="dxa"/>
          </w:tcPr>
          <w:p>
            <w:pPr>
              <w:pStyle w:val="0"/>
            </w:pPr>
            <w:r>
              <w:rPr>
                <w:sz w:val="24"/>
              </w:rPr>
            </w:r>
          </w:p>
        </w:tc>
        <w:tc>
          <w:tcPr>
            <w:tcW w:w="907" w:type="dxa"/>
          </w:tcPr>
          <w:p>
            <w:pPr>
              <w:pStyle w:val="0"/>
            </w:pPr>
            <w:r>
              <w:rPr>
                <w:sz w:val="24"/>
              </w:rPr>
            </w:r>
          </w:p>
        </w:tc>
        <w:tc>
          <w:tcPr>
            <w:tcW w:w="816"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614" w:type="dxa"/>
          </w:tcPr>
          <w:p>
            <w:pPr>
              <w:pStyle w:val="0"/>
            </w:pPr>
            <w:r>
              <w:rPr>
                <w:sz w:val="24"/>
              </w:rPr>
            </w:r>
          </w:p>
        </w:tc>
        <w:tc>
          <w:tcPr>
            <w:tcW w:w="1615" w:type="dxa"/>
          </w:tcPr>
          <w:p>
            <w:pPr>
              <w:pStyle w:val="0"/>
            </w:pPr>
            <w:r>
              <w:rPr>
                <w:sz w:val="24"/>
              </w:rPr>
            </w:r>
          </w:p>
        </w:tc>
        <w:tc>
          <w:tcPr>
            <w:tcW w:w="794" w:type="dxa"/>
          </w:tcPr>
          <w:p>
            <w:pPr>
              <w:pStyle w:val="0"/>
            </w:pPr>
            <w:r>
              <w:rPr>
                <w:sz w:val="24"/>
              </w:rPr>
            </w:r>
          </w:p>
        </w:tc>
        <w:tc>
          <w:tcPr>
            <w:tcW w:w="737" w:type="dxa"/>
          </w:tcPr>
          <w:p>
            <w:pPr>
              <w:pStyle w:val="0"/>
            </w:pPr>
            <w:r>
              <w:rPr>
                <w:sz w:val="24"/>
              </w:rPr>
            </w:r>
          </w:p>
        </w:tc>
        <w:tc>
          <w:tcPr>
            <w:tcW w:w="680" w:type="dxa"/>
          </w:tcPr>
          <w:p>
            <w:pPr>
              <w:pStyle w:val="0"/>
            </w:pPr>
            <w:r>
              <w:rPr>
                <w:sz w:val="24"/>
              </w:rPr>
            </w:r>
          </w:p>
        </w:tc>
      </w:tr>
    </w:tbl>
    <w:p>
      <w:pPr>
        <w:sectPr>
          <w:headerReference w:type="default" r:id="rId8"/>
          <w:headerReference w:type="first" r:id="rId8"/>
          <w:footerReference w:type="default" r:id="rId9"/>
          <w:footerReference w:type="first" r:id="rId9"/>
          <w:pgSz w:w="16838" w:h="11906" w:orient="landscape"/>
          <w:pgMar w:top="1133" w:right="397" w:bottom="566" w:left="397"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right"/>
            </w:pPr>
            <w:r>
              <w:rPr>
                <w:sz w:val="24"/>
              </w:rPr>
              <w:t xml:space="preserve">(продолжение таблицы 2)</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1"/>
        <w:gridCol w:w="2154"/>
        <w:gridCol w:w="2778"/>
        <w:gridCol w:w="1304"/>
        <w:gridCol w:w="794"/>
      </w:tblGrid>
      <w:tr>
        <w:tc>
          <w:tcPr>
            <w:tcW w:w="2041" w:type="dxa"/>
          </w:tcPr>
          <w:p>
            <w:pPr>
              <w:pStyle w:val="0"/>
              <w:jc w:val="center"/>
            </w:pPr>
            <w:r>
              <w:rPr>
                <w:sz w:val="24"/>
              </w:rPr>
              <w:t xml:space="preserve">Масса отходов, утилизированных в предыдущем отчетном периоде сверх норматива утилизации (М</w:t>
            </w:r>
            <w:r>
              <w:rPr>
                <w:sz w:val="24"/>
                <w:vertAlign w:val="subscript"/>
              </w:rPr>
              <w:t xml:space="preserve">пред.уп.</w:t>
            </w:r>
            <w:r>
              <w:rPr>
                <w:sz w:val="24"/>
              </w:rPr>
              <w:t xml:space="preserve">), кг </w:t>
            </w:r>
            <w:hyperlink w:history="0" w:anchor="P836" w:tooltip="&lt;24&gt; Указывается масса отходов, утилизированных в предыдущем отчетном периоде сверх норматива утилизации (Мпред.уп.), на основании сведений, содержащихся в отчетности о выполнении самостоятельной утилизации отходов от использования товаров за предыдущий отчетный период. В случае отсутствия таких данных в строке графы 17 ставится значение &quot;0&quot;.">
              <w:r>
                <w:rPr>
                  <w:sz w:val="24"/>
                  <w:color w:val="0000ff"/>
                </w:rPr>
                <w:t xml:space="preserve">&lt;24&gt;</w:t>
              </w:r>
            </w:hyperlink>
          </w:p>
        </w:tc>
        <w:tc>
          <w:tcPr>
            <w:tcW w:w="2154" w:type="dxa"/>
          </w:tcPr>
          <w:p>
            <w:pPr>
              <w:pStyle w:val="0"/>
              <w:jc w:val="center"/>
            </w:pPr>
            <w:r>
              <w:rPr>
                <w:sz w:val="24"/>
              </w:rPr>
              <w:t xml:space="preserve">Масса утилизированных отходов, засчитываемая в счет выполнения норматива утилизации в отчетном периоде (М</w:t>
            </w:r>
            <w:r>
              <w:rPr>
                <w:sz w:val="24"/>
                <w:vertAlign w:val="subscript"/>
              </w:rPr>
              <w:t xml:space="preserve">засч.уп.</w:t>
            </w:r>
            <w:r>
              <w:rPr>
                <w:sz w:val="24"/>
              </w:rPr>
              <w:t xml:space="preserve">), кг </w:t>
            </w:r>
            <w:hyperlink w:history="0" w:anchor="P837" w:tooltip="&lt;25&gt; Указывается масса утилизированных отходов, засчитываемая в счет выполнения норматива утилизации в отчетном периоде (Мзасч.уп.), определяется как разница между суммой значений Мут.уп. (графа 8) с Мпред.уп. (графа 17) и Мподл.ут.уп. (графа 7).">
              <w:r>
                <w:rPr>
                  <w:sz w:val="24"/>
                  <w:color w:val="0000ff"/>
                </w:rPr>
                <w:t xml:space="preserve">&lt;25&gt;</w:t>
              </w:r>
            </w:hyperlink>
          </w:p>
        </w:tc>
        <w:tc>
          <w:tcPr>
            <w:tcW w:w="2778" w:type="dxa"/>
          </w:tcPr>
          <w:p>
            <w:pPr>
              <w:pStyle w:val="0"/>
              <w:jc w:val="center"/>
            </w:pPr>
            <w:r>
              <w:rPr>
                <w:sz w:val="24"/>
              </w:rPr>
              <w:t xml:space="preserve">Масса отходов, утилизированных в отчетном периоде сверх норматива утилизации, для учета при выполнении нормативы утилизации в будущем отчетном периоде (М</w:t>
            </w:r>
            <w:r>
              <w:rPr>
                <w:sz w:val="24"/>
                <w:vertAlign w:val="subscript"/>
              </w:rPr>
              <w:t xml:space="preserve">буд.уп.</w:t>
            </w:r>
            <w:r>
              <w:rPr>
                <w:sz w:val="24"/>
              </w:rPr>
              <w:t xml:space="preserve">), кг </w:t>
            </w:r>
            <w:hyperlink w:history="0" w:anchor="P841" w:tooltip="&lt;26&gt; Указывается масса отходов, утилизированных в отчетном периоде сверх норматива утилизации, для учета при выполнении норматива утилизации в будущем отчетном периоде (Мбуд.уп.), определяется как разница между значениями Мут.уп. (графа 8) и Мподл.ут.уп. (графа 7).">
              <w:r>
                <w:rPr>
                  <w:sz w:val="24"/>
                  <w:color w:val="0000ff"/>
                </w:rPr>
                <w:t xml:space="preserve">&lt;26&gt;</w:t>
              </w:r>
            </w:hyperlink>
          </w:p>
        </w:tc>
        <w:tc>
          <w:tcPr>
            <w:tcW w:w="1304" w:type="dxa"/>
          </w:tcPr>
          <w:p>
            <w:pPr>
              <w:pStyle w:val="0"/>
              <w:jc w:val="center"/>
            </w:pPr>
            <w:r>
              <w:rPr>
                <w:sz w:val="24"/>
              </w:rPr>
              <w:t xml:space="preserve">Масса отходов, за которые необходимо уплатить экологический сбор (М</w:t>
            </w:r>
            <w:r>
              <w:rPr>
                <w:sz w:val="24"/>
                <w:vertAlign w:val="subscript"/>
              </w:rPr>
              <w:t xml:space="preserve">эс.уп.</w:t>
            </w:r>
            <w:r>
              <w:rPr>
                <w:sz w:val="24"/>
              </w:rPr>
              <w:t xml:space="preserve">), кг </w:t>
            </w:r>
            <w:hyperlink w:history="0" w:anchor="P844" w:tooltip="&lt;27&gt; Указывается масса отходов, за которые необходимо уплатить экологический сбор (Мэс.уп.), определяемая как разница между значением Мподл.ут.уп. (графа 7) и значением Мзасч.уп. (графа 18).">
              <w:r>
                <w:rPr>
                  <w:sz w:val="24"/>
                  <w:color w:val="0000ff"/>
                </w:rPr>
                <w:t xml:space="preserve">&lt;27&gt;</w:t>
              </w:r>
            </w:hyperlink>
          </w:p>
        </w:tc>
        <w:tc>
          <w:tcPr>
            <w:tcW w:w="794" w:type="dxa"/>
          </w:tcPr>
          <w:p>
            <w:pPr>
              <w:pStyle w:val="0"/>
              <w:jc w:val="center"/>
            </w:pPr>
            <w:r>
              <w:rPr>
                <w:sz w:val="24"/>
              </w:rPr>
              <w:t xml:space="preserve">Примечание </w:t>
            </w:r>
            <w:hyperlink w:history="0" w:anchor="P828" w:tooltip="&lt;16&gt; Строка графы 19 таблицы 1 и строка графы 2 таблицы 2 заполняются при необходимости (на усмотрение импортера товара в случае необходимости представления разъяснений, дополнений и т.п.).">
              <w:r>
                <w:rPr>
                  <w:sz w:val="24"/>
                  <w:color w:val="0000ff"/>
                </w:rPr>
                <w:t xml:space="preserve">&lt;16&gt;</w:t>
              </w:r>
            </w:hyperlink>
          </w:p>
        </w:tc>
      </w:tr>
      <w:tr>
        <w:tc>
          <w:tcPr>
            <w:tcW w:w="2041" w:type="dxa"/>
          </w:tcPr>
          <w:bookmarkStart w:id="765" w:name="P765"/>
          <w:bookmarkEnd w:id="765"/>
          <w:p>
            <w:pPr>
              <w:pStyle w:val="0"/>
              <w:jc w:val="center"/>
            </w:pPr>
            <w:r>
              <w:rPr>
                <w:sz w:val="24"/>
              </w:rPr>
              <w:t xml:space="preserve">17</w:t>
            </w:r>
          </w:p>
        </w:tc>
        <w:tc>
          <w:tcPr>
            <w:tcW w:w="2154" w:type="dxa"/>
          </w:tcPr>
          <w:bookmarkStart w:id="766" w:name="P766"/>
          <w:bookmarkEnd w:id="766"/>
          <w:p>
            <w:pPr>
              <w:pStyle w:val="0"/>
              <w:jc w:val="center"/>
            </w:pPr>
            <w:r>
              <w:rPr>
                <w:sz w:val="24"/>
              </w:rPr>
              <w:t xml:space="preserve">18</w:t>
            </w:r>
          </w:p>
        </w:tc>
        <w:tc>
          <w:tcPr>
            <w:tcW w:w="2778" w:type="dxa"/>
          </w:tcPr>
          <w:bookmarkStart w:id="767" w:name="P767"/>
          <w:bookmarkEnd w:id="767"/>
          <w:p>
            <w:pPr>
              <w:pStyle w:val="0"/>
              <w:jc w:val="center"/>
            </w:pPr>
            <w:r>
              <w:rPr>
                <w:sz w:val="24"/>
              </w:rPr>
              <w:t xml:space="preserve">19</w:t>
            </w:r>
          </w:p>
        </w:tc>
        <w:tc>
          <w:tcPr>
            <w:tcW w:w="1304" w:type="dxa"/>
          </w:tcPr>
          <w:bookmarkStart w:id="768" w:name="P768"/>
          <w:bookmarkEnd w:id="768"/>
          <w:p>
            <w:pPr>
              <w:pStyle w:val="0"/>
              <w:jc w:val="center"/>
            </w:pPr>
            <w:r>
              <w:rPr>
                <w:sz w:val="24"/>
              </w:rPr>
              <w:t xml:space="preserve">20</w:t>
            </w:r>
          </w:p>
        </w:tc>
        <w:tc>
          <w:tcPr>
            <w:tcW w:w="794" w:type="dxa"/>
          </w:tcPr>
          <w:p>
            <w:pPr>
              <w:pStyle w:val="0"/>
              <w:jc w:val="center"/>
            </w:pPr>
            <w:r>
              <w:rPr>
                <w:sz w:val="24"/>
              </w:rPr>
              <w:t xml:space="preserve">21</w:t>
            </w:r>
          </w:p>
        </w:tc>
      </w:tr>
      <w:tr>
        <w:tc>
          <w:tcPr>
            <w:tcW w:w="2041" w:type="dxa"/>
          </w:tcPr>
          <w:p>
            <w:pPr>
              <w:pStyle w:val="0"/>
            </w:pPr>
            <w:r>
              <w:rPr>
                <w:sz w:val="24"/>
              </w:rPr>
            </w:r>
          </w:p>
        </w:tc>
        <w:tc>
          <w:tcPr>
            <w:tcW w:w="2154" w:type="dxa"/>
          </w:tcPr>
          <w:p>
            <w:pPr>
              <w:pStyle w:val="0"/>
            </w:pPr>
            <w:r>
              <w:rPr>
                <w:sz w:val="24"/>
              </w:rPr>
            </w:r>
          </w:p>
        </w:tc>
        <w:tc>
          <w:tcPr>
            <w:tcW w:w="2778" w:type="dxa"/>
          </w:tcPr>
          <w:p>
            <w:pPr>
              <w:pStyle w:val="0"/>
            </w:pPr>
            <w:r>
              <w:rPr>
                <w:sz w:val="24"/>
              </w:rPr>
            </w:r>
          </w:p>
        </w:tc>
        <w:tc>
          <w:tcPr>
            <w:tcW w:w="1304" w:type="dxa"/>
          </w:tcPr>
          <w:p>
            <w:pPr>
              <w:pStyle w:val="0"/>
            </w:pPr>
            <w:r>
              <w:rPr>
                <w:sz w:val="24"/>
              </w:rPr>
            </w:r>
          </w:p>
        </w:tc>
        <w:tc>
          <w:tcPr>
            <w:tcW w:w="794" w:type="dxa"/>
          </w:tcPr>
          <w:p>
            <w:pPr>
              <w:pStyle w:val="0"/>
            </w:pPr>
            <w:r>
              <w:rPr>
                <w:sz w:val="24"/>
              </w:rPr>
            </w:r>
          </w:p>
        </w:tc>
      </w:tr>
      <w:tr>
        <w:tc>
          <w:tcPr>
            <w:tcW w:w="2041" w:type="dxa"/>
          </w:tcPr>
          <w:p>
            <w:pPr>
              <w:pStyle w:val="0"/>
            </w:pPr>
            <w:r>
              <w:rPr>
                <w:sz w:val="24"/>
              </w:rPr>
            </w:r>
          </w:p>
        </w:tc>
        <w:tc>
          <w:tcPr>
            <w:tcW w:w="2154" w:type="dxa"/>
          </w:tcPr>
          <w:p>
            <w:pPr>
              <w:pStyle w:val="0"/>
            </w:pPr>
            <w:r>
              <w:rPr>
                <w:sz w:val="24"/>
              </w:rPr>
            </w:r>
          </w:p>
        </w:tc>
        <w:tc>
          <w:tcPr>
            <w:tcW w:w="2778" w:type="dxa"/>
          </w:tcPr>
          <w:p>
            <w:pPr>
              <w:pStyle w:val="0"/>
            </w:pPr>
            <w:r>
              <w:rPr>
                <w:sz w:val="24"/>
              </w:rPr>
            </w:r>
          </w:p>
        </w:tc>
        <w:tc>
          <w:tcPr>
            <w:tcW w:w="1304" w:type="dxa"/>
          </w:tcPr>
          <w:p>
            <w:pPr>
              <w:pStyle w:val="0"/>
            </w:pPr>
            <w:r>
              <w:rPr>
                <w:sz w:val="24"/>
              </w:rPr>
            </w:r>
          </w:p>
        </w:tc>
        <w:tc>
          <w:tcPr>
            <w:tcW w:w="794" w:type="dxa"/>
          </w:tcPr>
          <w:p>
            <w:pPr>
              <w:pStyle w:val="0"/>
            </w:pPr>
            <w:r>
              <w:rPr>
                <w:sz w:val="24"/>
              </w:rPr>
            </w:r>
          </w:p>
        </w:tc>
      </w:tr>
      <w:tr>
        <w:tc>
          <w:tcPr>
            <w:tcW w:w="2041" w:type="dxa"/>
          </w:tcPr>
          <w:p>
            <w:pPr>
              <w:pStyle w:val="0"/>
            </w:pPr>
            <w:r>
              <w:rPr>
                <w:sz w:val="24"/>
              </w:rPr>
            </w:r>
          </w:p>
        </w:tc>
        <w:tc>
          <w:tcPr>
            <w:tcW w:w="2154" w:type="dxa"/>
          </w:tcPr>
          <w:p>
            <w:pPr>
              <w:pStyle w:val="0"/>
            </w:pPr>
            <w:r>
              <w:rPr>
                <w:sz w:val="24"/>
              </w:rPr>
            </w:r>
          </w:p>
        </w:tc>
        <w:tc>
          <w:tcPr>
            <w:tcW w:w="2778" w:type="dxa"/>
          </w:tcPr>
          <w:p>
            <w:pPr>
              <w:pStyle w:val="0"/>
            </w:pPr>
            <w:r>
              <w:rPr>
                <w:sz w:val="24"/>
              </w:rPr>
            </w:r>
          </w:p>
        </w:tc>
        <w:tc>
          <w:tcPr>
            <w:tcW w:w="1304" w:type="dxa"/>
          </w:tcPr>
          <w:p>
            <w:pPr>
              <w:pStyle w:val="0"/>
            </w:pPr>
            <w:r>
              <w:rPr>
                <w:sz w:val="24"/>
              </w:rPr>
            </w:r>
          </w:p>
        </w:tc>
        <w:tc>
          <w:tcPr>
            <w:tcW w:w="794"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К настоящей отчетности прилагаются следующие документы </w:t>
            </w:r>
            <w:hyperlink w:history="0" w:anchor="P846" w:tooltip="&lt;28&gt; Импортер товара, упаковки прилагает:">
              <w:r>
                <w:rPr>
                  <w:sz w:val="24"/>
                  <w:color w:val="0000ff"/>
                </w:rPr>
                <w:t xml:space="preserve">&lt;28&gt;</w:t>
              </w:r>
            </w:hyperlink>
            <w:r>
              <w:rPr>
                <w:sz w:val="24"/>
              </w:rPr>
              <w:t xml:space="preserve">:</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8334"/>
      </w:tblGrid>
      <w:tr>
        <w:tc>
          <w:tcPr>
            <w:tcW w:w="737" w:type="dxa"/>
          </w:tcPr>
          <w:p>
            <w:pPr>
              <w:pStyle w:val="0"/>
              <w:jc w:val="center"/>
            </w:pPr>
            <w:r>
              <w:rPr>
                <w:sz w:val="24"/>
              </w:rPr>
              <w:t xml:space="preserve">N п/п</w:t>
            </w:r>
          </w:p>
        </w:tc>
        <w:tc>
          <w:tcPr>
            <w:tcW w:w="8334" w:type="dxa"/>
          </w:tcPr>
          <w:p>
            <w:pPr>
              <w:pStyle w:val="0"/>
              <w:jc w:val="center"/>
            </w:pPr>
            <w:r>
              <w:rPr>
                <w:sz w:val="24"/>
              </w:rPr>
              <w:t xml:space="preserve">Наименование прилагаемого документа</w:t>
            </w:r>
          </w:p>
        </w:tc>
      </w:tr>
      <w:tr>
        <w:tc>
          <w:tcPr>
            <w:tcW w:w="737" w:type="dxa"/>
          </w:tcPr>
          <w:p>
            <w:pPr>
              <w:pStyle w:val="0"/>
              <w:jc w:val="center"/>
            </w:pPr>
            <w:r>
              <w:rPr>
                <w:sz w:val="24"/>
              </w:rPr>
              <w:t xml:space="preserve">1.</w:t>
            </w:r>
          </w:p>
        </w:tc>
        <w:tc>
          <w:tcPr>
            <w:tcW w:w="8334"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Полноту и достоверность сведений, представленных в настоящей отчетности и прилагаемых к ней документах, подтверждаю</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798"/>
        <w:gridCol w:w="2835"/>
        <w:gridCol w:w="340"/>
        <w:gridCol w:w="2098"/>
      </w:tblGrid>
      <w:tr>
        <w:tc>
          <w:tcPr>
            <w:tcW w:w="3798" w:type="dxa"/>
            <w:vAlign w:val="bottom"/>
            <w:tcBorders>
              <w:top w:val="nil"/>
              <w:left w:val="nil"/>
              <w:bottom w:val="nil"/>
              <w:right w:val="nil"/>
            </w:tcBorders>
          </w:tcPr>
          <w:p>
            <w:pPr>
              <w:pStyle w:val="0"/>
            </w:pPr>
            <w:r>
              <w:rPr>
                <w:sz w:val="24"/>
              </w:rPr>
              <w:t xml:space="preserve">Должностное лицо, ответственное за представление отчетности (руководитель юридического лица или лицо, уполномоченное на осуществление действий от имени юридического лица), либо индивидуальный предприниматель</w:t>
            </w:r>
          </w:p>
        </w:tc>
        <w:tc>
          <w:tcPr>
            <w:tcW w:w="2835"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098" w:type="dxa"/>
            <w:vAlign w:val="bottom"/>
            <w:tcBorders>
              <w:top w:val="nil"/>
              <w:left w:val="nil"/>
              <w:bottom w:val="single" w:sz="4"/>
              <w:right w:val="nil"/>
            </w:tcBorders>
          </w:tcPr>
          <w:p>
            <w:pPr>
              <w:pStyle w:val="0"/>
            </w:pPr>
            <w:r>
              <w:rPr>
                <w:sz w:val="24"/>
              </w:rPr>
            </w:r>
          </w:p>
        </w:tc>
      </w:tr>
      <w:tr>
        <w:tc>
          <w:tcPr>
            <w:tcW w:w="3798"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c>
          <w:tcPr>
            <w:tcW w:w="340" w:type="dxa"/>
            <w:tcBorders>
              <w:top w:val="nil"/>
              <w:left w:val="nil"/>
              <w:bottom w:val="nil"/>
              <w:right w:val="nil"/>
            </w:tcBorders>
          </w:tcPr>
          <w:p>
            <w:pPr>
              <w:pStyle w:val="0"/>
            </w:pPr>
            <w:r>
              <w:rPr>
                <w:sz w:val="24"/>
              </w:rPr>
            </w:r>
          </w:p>
        </w:tc>
        <w:tc>
          <w:tcPr>
            <w:tcW w:w="2098" w:type="dxa"/>
            <w:tcBorders>
              <w:top w:val="single" w:sz="4"/>
              <w:left w:val="nil"/>
              <w:bottom w:val="nil"/>
              <w:right w:val="nil"/>
            </w:tcBorders>
          </w:tcPr>
          <w:p>
            <w:pPr>
              <w:pStyle w:val="0"/>
              <w:jc w:val="center"/>
            </w:pPr>
            <w:r>
              <w:rPr>
                <w:sz w:val="24"/>
              </w:rPr>
              <w:t xml:space="preserve">(дата)</w:t>
            </w:r>
          </w:p>
        </w:tc>
      </w:tr>
    </w:tbl>
    <w:p>
      <w:pPr>
        <w:pStyle w:val="0"/>
        <w:jc w:val="both"/>
      </w:pPr>
      <w:r>
        <w:rPr>
          <w:sz w:val="24"/>
        </w:rPr>
      </w:r>
    </w:p>
    <w:p>
      <w:pPr>
        <w:pStyle w:val="0"/>
        <w:ind w:firstLine="540"/>
        <w:jc w:val="both"/>
      </w:pPr>
      <w:r>
        <w:rPr>
          <w:sz w:val="24"/>
        </w:rPr>
        <w:t xml:space="preserve">--------------------------------</w:t>
      </w:r>
    </w:p>
    <w:bookmarkStart w:id="805" w:name="P805"/>
    <w:bookmarkEnd w:id="805"/>
    <w:p>
      <w:pPr>
        <w:pStyle w:val="0"/>
        <w:spacing w:before="240" w:lineRule="auto"/>
        <w:ind w:firstLine="540"/>
        <w:jc w:val="both"/>
      </w:pPr>
      <w:r>
        <w:rPr>
          <w:sz w:val="24"/>
        </w:rPr>
        <w:t xml:space="preserve">&lt;1&gt; Сведения </w:t>
      </w:r>
      <w:hyperlink w:history="0" w:anchor="P548" w:tooltip="Раздел I. Общие сведения &lt;1&gt;">
        <w:r>
          <w:rPr>
            <w:sz w:val="24"/>
            <w:color w:val="0000ff"/>
          </w:rPr>
          <w:t xml:space="preserve">раздела I</w:t>
        </w:r>
      </w:hyperlink>
      <w:r>
        <w:rPr>
          <w:sz w:val="24"/>
        </w:rPr>
        <w:t xml:space="preserve"> настоящей отчетности подлежат автоматическому заполнению на основании сведений из учетной записи юридического лица или индивидуального предпринимателя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bookmarkStart w:id="806" w:name="P806"/>
    <w:bookmarkEnd w:id="806"/>
    <w:p>
      <w:pPr>
        <w:pStyle w:val="0"/>
        <w:spacing w:before="240" w:lineRule="auto"/>
        <w:ind w:firstLine="540"/>
        <w:jc w:val="both"/>
      </w:pPr>
      <w:r>
        <w:rPr>
          <w:sz w:val="24"/>
        </w:rPr>
        <w:t xml:space="preserve">&lt;2&gt; В </w:t>
      </w:r>
      <w:hyperlink w:history="0" w:anchor="P600" w:tooltip="Таблица 1">
        <w:r>
          <w:rPr>
            <w:sz w:val="24"/>
            <w:color w:val="0000ff"/>
          </w:rPr>
          <w:t xml:space="preserve">таблице 1</w:t>
        </w:r>
      </w:hyperlink>
      <w:r>
        <w:rPr>
          <w:sz w:val="24"/>
        </w:rPr>
        <w:t xml:space="preserve"> указываются номер и наименование группы товаров, упаковки, отходы от использования которых подлежат утилизации в отчетном периоде, в соответствии с </w:t>
      </w:r>
      <w:r>
        <w:rPr>
          <w:sz w:val="24"/>
        </w:rPr>
        <w:t xml:space="preserve">разделами I</w:t>
      </w:r>
      <w:r>
        <w:rPr>
          <w:sz w:val="24"/>
        </w:rPr>
        <w:t xml:space="preserve"> и </w:t>
      </w:r>
      <w:r>
        <w:rPr>
          <w:sz w:val="24"/>
        </w:rPr>
        <w:t xml:space="preserve">II</w:t>
      </w:r>
      <w:r>
        <w:rPr>
          <w:sz w:val="24"/>
        </w:rPr>
        <w:t xml:space="preserve"> перечней товаров, упаковки, отходы от использования которых подлежат утилизации, утвержденных постановлением Правительства Российской Федерации от 29 декабря 2023 г. N 2414 "Об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упаковки", а затем построчно - товарные позиции по наименованиям товаров, упаковки из указанных перечней </w:t>
      </w:r>
      <w:hyperlink w:history="0" w:anchor="P618" w:tooltip="2">
        <w:r>
          <w:rPr>
            <w:sz w:val="24"/>
            <w:color w:val="0000ff"/>
          </w:rPr>
          <w:t xml:space="preserve">(графа 2)</w:t>
        </w:r>
      </w:hyperlink>
      <w:r>
        <w:rPr>
          <w:sz w:val="24"/>
        </w:rPr>
        <w:t xml:space="preserve">.</w:t>
      </w:r>
    </w:p>
    <w:bookmarkStart w:id="807" w:name="P807"/>
    <w:bookmarkEnd w:id="807"/>
    <w:p>
      <w:pPr>
        <w:pStyle w:val="0"/>
        <w:spacing w:before="240" w:lineRule="auto"/>
        <w:ind w:firstLine="540"/>
        <w:jc w:val="both"/>
      </w:pPr>
      <w:r>
        <w:rPr>
          <w:sz w:val="24"/>
        </w:rPr>
        <w:t xml:space="preserve">&lt;3&gt; Наименование и код по каждому товару, упаковке указываются по единой Товарной </w:t>
      </w:r>
      <w:r>
        <w:rPr>
          <w:sz w:val="24"/>
        </w:rPr>
        <w:t xml:space="preserve">номенклатуре</w:t>
      </w:r>
      <w:r>
        <w:rPr>
          <w:sz w:val="24"/>
        </w:rPr>
        <w:t xml:space="preserve"> внешнеэкономической деятельности Евразийского экономического союза (ТН ВЭД ЕАЭС). Заполняется для товара, упаковки, ввезенных на территорию Российской Федерации.</w:t>
      </w:r>
    </w:p>
    <w:bookmarkStart w:id="808" w:name="P808"/>
    <w:bookmarkEnd w:id="808"/>
    <w:p>
      <w:pPr>
        <w:pStyle w:val="0"/>
        <w:spacing w:before="240" w:lineRule="auto"/>
        <w:ind w:firstLine="540"/>
        <w:jc w:val="both"/>
      </w:pPr>
      <w:r>
        <w:rPr>
          <w:sz w:val="24"/>
        </w:rPr>
        <w:t xml:space="preserve">&lt;4&gt; Указывается масса отходов от использования товара, упаковки, подлежащих утилизации в отчетном периоде (М</w:t>
      </w:r>
      <w:r>
        <w:rPr>
          <w:sz w:val="24"/>
          <w:vertAlign w:val="subscript"/>
        </w:rPr>
        <w:t xml:space="preserve">подл.ут.т.</w:t>
      </w:r>
      <w:r>
        <w:rPr>
          <w:sz w:val="24"/>
        </w:rPr>
        <w:t xml:space="preserve">). Строка </w:t>
      </w:r>
      <w:hyperlink w:history="0" w:anchor="P621" w:tooltip="5">
        <w:r>
          <w:rPr>
            <w:sz w:val="24"/>
            <w:color w:val="0000ff"/>
          </w:rPr>
          <w:t xml:space="preserve">графы 5</w:t>
        </w:r>
      </w:hyperlink>
      <w:r>
        <w:rPr>
          <w:sz w:val="24"/>
        </w:rPr>
        <w:t xml:space="preserve"> подлежит автоматическому заполнению в соответствии со значениями массы отходов от использования товаров, упаковки, в отношении которых сохраняется обязанность обеспечить утилизацию, представленными импортером товара в строке </w:t>
      </w:r>
      <w:hyperlink w:history="0" w:anchor="P335" w:tooltip="24">
        <w:r>
          <w:rPr>
            <w:sz w:val="24"/>
            <w:color w:val="0000ff"/>
          </w:rPr>
          <w:t xml:space="preserve">графы 24 таблицы 1 раздела II</w:t>
        </w:r>
      </w:hyperlink>
      <w:r>
        <w:rPr>
          <w:sz w:val="24"/>
        </w:rPr>
        <w:t xml:space="preserve"> отчетности о массе товаров, упаковки, ввезенных из государств, не являющихся членами Евразийского экономического союза, согласно </w:t>
      </w:r>
      <w:hyperlink w:history="0" w:anchor="P199" w:tooltip="ОТЧЕТНОСТЬ">
        <w:r>
          <w:rPr>
            <w:sz w:val="24"/>
            <w:color w:val="0000ff"/>
          </w:rPr>
          <w:t xml:space="preserve">приложению N 2</w:t>
        </w:r>
      </w:hyperlink>
      <w:r>
        <w:rPr>
          <w:sz w:val="24"/>
        </w:rPr>
        <w:t xml:space="preserve"> к Положению о проведении эксперимента в отношении отдельных групп товаров, в том числе товаров в упаковке, утвержденному постановлением Правительства Российской Федерации от 1 июня 2024 г. N 750 "О проведении эксперимента в отношении отдельных групп товаров, в том числе товаров в упаковке" (далее - Положение об эксперименте), при использовании импортером товара интерактивных форм отчетности электронного сервиса "личный кабинет" единой федеральной государственной информационной системы учета отходов от использования товаров (далее - интерактивные формы отчетности).</w:t>
      </w:r>
    </w:p>
    <w:bookmarkStart w:id="809" w:name="P809"/>
    <w:bookmarkEnd w:id="809"/>
    <w:p>
      <w:pPr>
        <w:pStyle w:val="0"/>
        <w:spacing w:before="240" w:lineRule="auto"/>
        <w:ind w:firstLine="540"/>
        <w:jc w:val="both"/>
      </w:pPr>
      <w:r>
        <w:rPr>
          <w:sz w:val="24"/>
        </w:rPr>
        <w:t xml:space="preserve">&lt;5&gt; Указывается общая масса утилизированных отходов от использования товара и (или) использованного вторичного сырья, полученного из отходов от использования таких товаров, при производстве товара (продукции) в отчетном периоде (М</w:t>
      </w:r>
      <w:r>
        <w:rPr>
          <w:sz w:val="24"/>
          <w:vertAlign w:val="subscript"/>
        </w:rPr>
        <w:t xml:space="preserve">ут.т.</w:t>
      </w:r>
      <w:r>
        <w:rPr>
          <w:sz w:val="24"/>
        </w:rPr>
        <w:t xml:space="preserve">) в целях исполнения импортерами товара обязанности по обеспечению самостоятельной утилизации отходов от использования товара, упаковки, сведения о которых указаны в строках </w:t>
      </w:r>
      <w:hyperlink w:history="0" w:anchor="P618" w:tooltip="2">
        <w:r>
          <w:rPr>
            <w:sz w:val="24"/>
            <w:color w:val="0000ff"/>
          </w:rPr>
          <w:t xml:space="preserve">граф 2</w:t>
        </w:r>
      </w:hyperlink>
      <w:r>
        <w:rPr>
          <w:sz w:val="24"/>
        </w:rPr>
        <w:t xml:space="preserve"> - </w:t>
      </w:r>
      <w:hyperlink w:history="0" w:anchor="P620" w:tooltip="4">
        <w:r>
          <w:rPr>
            <w:sz w:val="24"/>
            <w:color w:val="0000ff"/>
          </w:rPr>
          <w:t xml:space="preserve">4</w:t>
        </w:r>
      </w:hyperlink>
      <w:r>
        <w:rPr>
          <w:sz w:val="24"/>
        </w:rPr>
        <w:t xml:space="preserve">, в соответствии с перечнем видов отходов от использования товаров, видов полученного из таких отходов вторичного сырья, при утилизации которых может быть исполнена обязанность по обеспечению самостоятельной утилизации отходов от использования товаров, упаковки, включенных в перечень, предусмотренный </w:t>
      </w:r>
      <w:r>
        <w:rPr>
          <w:sz w:val="24"/>
        </w:rPr>
        <w:t xml:space="preserve">пунктом 5 статьи 24.2</w:t>
      </w:r>
      <w:r>
        <w:rPr>
          <w:sz w:val="24"/>
        </w:rPr>
        <w:t xml:space="preserve"> Федерального закона "Об отходах производства и потребления", и видов товаров (продукции), которые могут быть произведены при утилизации таких отходов (в том числе при использовании вторичного сырья, полученного из таких отходов) в целях исполнения обязанности по обеспечению самостоятельной утилизации отходов от использования товаров, утвержденным </w:t>
      </w:r>
      <w:r>
        <w:rPr>
          <w:sz w:val="24"/>
        </w:rPr>
        <w:t xml:space="preserve">постановлением</w:t>
      </w:r>
      <w:r>
        <w:rPr>
          <w:sz w:val="24"/>
        </w:rPr>
        <w:t xml:space="preserve"> Правительства Российской Федерации от 29 декабря 2023 г. N 2394 "Об утверждении перечня видов отходов от использования товаров, видов полученного из таких отходов вторичного сырья, при утилизации которых может быть исполнена обязанность по обеспечению самостоятельной утилизации отходов от использования товаров, упаковки, включенных в перечень, предусмотренный </w:t>
      </w:r>
      <w:r>
        <w:rPr>
          <w:sz w:val="24"/>
        </w:rPr>
        <w:t xml:space="preserve">пунктом 5 статьи 24.2</w:t>
      </w:r>
      <w:r>
        <w:rPr>
          <w:sz w:val="24"/>
        </w:rPr>
        <w:t xml:space="preserve"> Федерального закона "Об отходах производства и потребления", и видов товаров (продукции), которые могут быть произведены при утилизации таких отходов (в том числе при использовании вторичного сырья, полученного из таких отходов) в целях исполнения обязанности по обеспечению самостоятельной утилизации отходов от использования товаров" (далее - перечень-конвертер). Определяется как сумма значений в строках </w:t>
      </w:r>
      <w:hyperlink w:history="0" w:anchor="P624" w:tooltip="8">
        <w:r>
          <w:rPr>
            <w:sz w:val="24"/>
            <w:color w:val="0000ff"/>
          </w:rPr>
          <w:t xml:space="preserve">граф 8</w:t>
        </w:r>
      </w:hyperlink>
      <w:r>
        <w:rPr>
          <w:sz w:val="24"/>
        </w:rPr>
        <w:t xml:space="preserve"> и </w:t>
      </w:r>
      <w:hyperlink w:history="0" w:anchor="P625" w:tooltip="9">
        <w:r>
          <w:rPr>
            <w:sz w:val="24"/>
            <w:color w:val="0000ff"/>
          </w:rPr>
          <w:t xml:space="preserve">9</w:t>
        </w:r>
      </w:hyperlink>
      <w:r>
        <w:rPr>
          <w:sz w:val="24"/>
        </w:rPr>
        <w:t xml:space="preserve">. Строка </w:t>
      </w:r>
      <w:hyperlink w:history="0" w:anchor="P622" w:tooltip="6">
        <w:r>
          <w:rPr>
            <w:sz w:val="24"/>
            <w:color w:val="0000ff"/>
          </w:rPr>
          <w:t xml:space="preserve">графы 6</w:t>
        </w:r>
      </w:hyperlink>
      <w:r>
        <w:rPr>
          <w:sz w:val="24"/>
        </w:rPr>
        <w:t xml:space="preserve"> заполняется автоматически при использовании интерактивных форм отчетности.</w:t>
      </w:r>
    </w:p>
    <w:bookmarkStart w:id="810" w:name="P810"/>
    <w:bookmarkEnd w:id="810"/>
    <w:p>
      <w:pPr>
        <w:pStyle w:val="0"/>
        <w:spacing w:before="240" w:lineRule="auto"/>
        <w:ind w:firstLine="540"/>
        <w:jc w:val="both"/>
      </w:pPr>
      <w:r>
        <w:rPr>
          <w:sz w:val="24"/>
        </w:rPr>
        <w:t xml:space="preserve">&lt;6&gt; Указывается номер реестровой записи в реестре юридических лиц, индивидуальных предпринимателей, осуществляющих утилизацию отходов от использования товаров (далее - реестр утилизаторов), импортера товара (в случае осуществления им утилизации отходов от использования товаров самостоятельно путем использования собственной инфраструктуры по утилизации отходов от использования товаров) и (или) юридических лиц, индивидуальных предпринимателей, осуществляющих утилизацию отходов от использования товаров, с которыми импортером товара заключены договоры, предусмотренные </w:t>
      </w:r>
      <w:r>
        <w:rPr>
          <w:sz w:val="24"/>
        </w:rPr>
        <w:t xml:space="preserve">пунктом 3 статьи 24.2-1</w:t>
      </w:r>
      <w:r>
        <w:rPr>
          <w:sz w:val="24"/>
        </w:rPr>
        <w:t xml:space="preserve"> Федерального закона "Об отходах производства и потребления" (далее - договоры с утилизаторами).</w:t>
      </w:r>
    </w:p>
    <w:bookmarkStart w:id="811" w:name="P811"/>
    <w:bookmarkEnd w:id="811"/>
    <w:p>
      <w:pPr>
        <w:pStyle w:val="0"/>
        <w:spacing w:before="240" w:lineRule="auto"/>
        <w:ind w:firstLine="540"/>
        <w:jc w:val="both"/>
      </w:pPr>
      <w:r>
        <w:rPr>
          <w:sz w:val="24"/>
        </w:rPr>
        <w:t xml:space="preserve">&lt;7&gt; Указывается масса утилизированных отходов от использования товара и (или) использованного вторичного сырья, полученного из отходов от использования товаров, при производстве товаров (продукции) в отчетном периоде импортером товара самостоятельно. В случае отсутствия таких данных в строке </w:t>
      </w:r>
      <w:hyperlink w:history="0" w:anchor="P624" w:tooltip="8">
        <w:r>
          <w:rPr>
            <w:sz w:val="24"/>
            <w:color w:val="0000ff"/>
          </w:rPr>
          <w:t xml:space="preserve">графы 8</w:t>
        </w:r>
      </w:hyperlink>
      <w:r>
        <w:rPr>
          <w:sz w:val="24"/>
        </w:rPr>
        <w:t xml:space="preserve"> ставится значение "0".</w:t>
      </w:r>
    </w:p>
    <w:bookmarkStart w:id="812" w:name="P812"/>
    <w:bookmarkEnd w:id="812"/>
    <w:p>
      <w:pPr>
        <w:pStyle w:val="0"/>
        <w:spacing w:before="240" w:lineRule="auto"/>
        <w:ind w:firstLine="540"/>
        <w:jc w:val="both"/>
      </w:pPr>
      <w:r>
        <w:rPr>
          <w:sz w:val="24"/>
        </w:rPr>
        <w:t xml:space="preserve">&lt;8&gt; Указывается масса утилизированных отходов от использования товара и (или) использованного вторичного сырья, полученного из отходов от использования товаров, при производстве товаров (продукции) в отчетном периоде юридическими лицами, индивидуальными предпринимателями, осуществляющими утилизацию отходов от использования товаров, включенными в реестр утилизаторов, и с которыми импортером товара заключены договоры с утилизаторами. В случае отсутствия таких данных в строке </w:t>
      </w:r>
      <w:hyperlink w:history="0" w:anchor="P625" w:tooltip="9">
        <w:r>
          <w:rPr>
            <w:sz w:val="24"/>
            <w:color w:val="0000ff"/>
          </w:rPr>
          <w:t xml:space="preserve">графы 9</w:t>
        </w:r>
      </w:hyperlink>
      <w:r>
        <w:rPr>
          <w:sz w:val="24"/>
        </w:rPr>
        <w:t xml:space="preserve"> ставится значение "0".</w:t>
      </w:r>
    </w:p>
    <w:bookmarkStart w:id="813" w:name="P813"/>
    <w:bookmarkEnd w:id="813"/>
    <w:p>
      <w:pPr>
        <w:pStyle w:val="0"/>
        <w:spacing w:before="240" w:lineRule="auto"/>
        <w:ind w:firstLine="540"/>
        <w:jc w:val="both"/>
      </w:pPr>
      <w:r>
        <w:rPr>
          <w:sz w:val="24"/>
        </w:rPr>
        <w:t xml:space="preserve">&lt;9&gt; Указываются наименование и код произведенного товара (продукции) по Общероссийскому </w:t>
      </w:r>
      <w:r>
        <w:rPr>
          <w:sz w:val="24"/>
        </w:rPr>
        <w:t xml:space="preserve">классификатору</w:t>
      </w:r>
      <w:r>
        <w:rPr>
          <w:sz w:val="24"/>
        </w:rPr>
        <w:t xml:space="preserve"> продукции по видам экономической деятельности ОК 034-2014 (КПЕС 2008), произведенного при утилизации отходов от использования товаров, использовании вторичного сырья, полученного из отходов от использования таких товаров, в соответствии с перечнем-конвертером. Заполняется на основании сведений, содержащихся в актах утилизации отходов от использования товаров (далее - акт утилизации отходов).</w:t>
      </w:r>
    </w:p>
    <w:bookmarkStart w:id="814" w:name="P814"/>
    <w:bookmarkEnd w:id="814"/>
    <w:p>
      <w:pPr>
        <w:pStyle w:val="0"/>
        <w:spacing w:before="240" w:lineRule="auto"/>
        <w:ind w:firstLine="540"/>
        <w:jc w:val="both"/>
      </w:pPr>
      <w:r>
        <w:rPr>
          <w:sz w:val="24"/>
        </w:rPr>
        <w:t xml:space="preserve">&lt;10&gt; Указывается масса произведенного товара (продукции), сведения о котором указаны в строках </w:t>
      </w:r>
      <w:hyperlink w:history="0" w:anchor="P626" w:tooltip="10">
        <w:r>
          <w:rPr>
            <w:sz w:val="24"/>
            <w:color w:val="0000ff"/>
          </w:rPr>
          <w:t xml:space="preserve">граф 10</w:t>
        </w:r>
      </w:hyperlink>
      <w:r>
        <w:rPr>
          <w:sz w:val="24"/>
        </w:rPr>
        <w:t xml:space="preserve"> - </w:t>
      </w:r>
      <w:hyperlink w:history="0" w:anchor="P627" w:tooltip="11">
        <w:r>
          <w:rPr>
            <w:sz w:val="24"/>
            <w:color w:val="0000ff"/>
          </w:rPr>
          <w:t xml:space="preserve">11</w:t>
        </w:r>
      </w:hyperlink>
      <w:r>
        <w:rPr>
          <w:sz w:val="24"/>
        </w:rPr>
        <w:t xml:space="preserve">, произведенных с использованием отходов от использования товаров, упаковки, сведения о которых указаны в строках </w:t>
      </w:r>
      <w:hyperlink w:history="0" w:anchor="P618" w:tooltip="2">
        <w:r>
          <w:rPr>
            <w:sz w:val="24"/>
            <w:color w:val="0000ff"/>
          </w:rPr>
          <w:t xml:space="preserve">граф 2</w:t>
        </w:r>
      </w:hyperlink>
      <w:r>
        <w:rPr>
          <w:sz w:val="24"/>
        </w:rPr>
        <w:t xml:space="preserve"> - </w:t>
      </w:r>
      <w:hyperlink w:history="0" w:anchor="P620" w:tooltip="4">
        <w:r>
          <w:rPr>
            <w:sz w:val="24"/>
            <w:color w:val="0000ff"/>
          </w:rPr>
          <w:t xml:space="preserve">4</w:t>
        </w:r>
      </w:hyperlink>
      <w:r>
        <w:rPr>
          <w:sz w:val="24"/>
        </w:rPr>
        <w:t xml:space="preserve">, вторичного сырья, полученного из таких отходов. Заполняется на основании сведений, содержащихся в актах утилизации отходов.</w:t>
      </w:r>
    </w:p>
    <w:bookmarkStart w:id="815" w:name="P815"/>
    <w:bookmarkEnd w:id="815"/>
    <w:p>
      <w:pPr>
        <w:pStyle w:val="0"/>
        <w:spacing w:before="240" w:lineRule="auto"/>
        <w:ind w:firstLine="540"/>
        <w:jc w:val="both"/>
      </w:pPr>
      <w:r>
        <w:rPr>
          <w:sz w:val="24"/>
        </w:rPr>
        <w:t xml:space="preserve">&lt;11&gt; Приводятся следующие сведения:</w:t>
      </w:r>
    </w:p>
    <w:p>
      <w:pPr>
        <w:pStyle w:val="0"/>
        <w:spacing w:before="240" w:lineRule="auto"/>
        <w:ind w:firstLine="540"/>
        <w:jc w:val="both"/>
      </w:pPr>
      <w:r>
        <w:rPr>
          <w:sz w:val="24"/>
        </w:rPr>
        <w:t xml:space="preserve">при организации собственных объектов по утилизации отходов от использования товаров, упаковки непосредственно самим импортером товара, упаковки - реквизиты (номер, дата) актов утилизации отходов;</w:t>
      </w:r>
    </w:p>
    <w:p>
      <w:pPr>
        <w:pStyle w:val="0"/>
        <w:spacing w:before="240" w:lineRule="auto"/>
        <w:ind w:firstLine="540"/>
        <w:jc w:val="both"/>
      </w:pPr>
      <w:r>
        <w:rPr>
          <w:sz w:val="24"/>
        </w:rPr>
        <w:t xml:space="preserve">при заключении договоров с утилизаторами - реквизиты (номер, дата) договоров с утилизаторами и актов утилизации отходов.</w:t>
      </w:r>
    </w:p>
    <w:p>
      <w:pPr>
        <w:pStyle w:val="0"/>
        <w:spacing w:before="240" w:lineRule="auto"/>
        <w:ind w:firstLine="540"/>
        <w:jc w:val="both"/>
      </w:pPr>
      <w:r>
        <w:rPr>
          <w:sz w:val="24"/>
        </w:rPr>
        <w:t xml:space="preserve">В случае если в отношении одного и того же наименования товара, упаковки обеспечение выполнения норматива утилизации отходов от использования товаров, упаковки, установленного Правительством Российской Федерации в соответствии с </w:t>
      </w:r>
      <w:r>
        <w:rPr>
          <w:sz w:val="24"/>
        </w:rPr>
        <w:t xml:space="preserve">пунктом 2 статьи 24.2</w:t>
      </w:r>
      <w:r>
        <w:rPr>
          <w:sz w:val="24"/>
        </w:rPr>
        <w:t xml:space="preserve"> Федерального закона "Об отходах производства и потребления", и (или) процента массы упаковки, отходы от использования которой подлежат утилизации в размере, установленном </w:t>
      </w:r>
      <w:r>
        <w:rPr>
          <w:sz w:val="24"/>
        </w:rPr>
        <w:t xml:space="preserve">частью 5 статьи 7</w:t>
      </w:r>
      <w:r>
        <w:rPr>
          <w:sz w:val="24"/>
        </w:rPr>
        <w:t xml:space="preserve"> Федерального закона от 4 августа 2023 г. N 451-ФЗ "О внесении изменений в Федеральный закон "Об отходах производства и потребления" и отдельные законодательные акты Российской Федерации" или </w:t>
      </w:r>
      <w:r>
        <w:rPr>
          <w:sz w:val="24"/>
        </w:rPr>
        <w:t xml:space="preserve">пунктом 4 статьи 24.2</w:t>
      </w:r>
      <w:r>
        <w:rPr>
          <w:sz w:val="24"/>
        </w:rPr>
        <w:t xml:space="preserve"> Федерального закона "Об отходах производства и потребления" (далее - норматив утилизации), осуществлялось производителями товаров, импортерами товаров путем заключения договоров с несколькими лицами, осуществляющими утилизацию отходов от использования товаров, указываются реквизиты (номер, дата) договоров с утилизаторами и актов утилизации отходов по каждому лицу, осуществляющему утилизацию отходов от использования товаров, упаковки (в виде нескольких строк для одного и того же товара, одной и той же упаковки).</w:t>
      </w:r>
    </w:p>
    <w:bookmarkStart w:id="819" w:name="P819"/>
    <w:bookmarkEnd w:id="819"/>
    <w:p>
      <w:pPr>
        <w:pStyle w:val="0"/>
        <w:spacing w:before="240" w:lineRule="auto"/>
        <w:ind w:firstLine="540"/>
        <w:jc w:val="both"/>
      </w:pPr>
      <w:r>
        <w:rPr>
          <w:sz w:val="24"/>
        </w:rPr>
        <w:t xml:space="preserve">&lt;12&gt; Указывается масса отходов, утилизированных в предыдущем отчетном периоде сверх норматива утилизации (М</w:t>
      </w:r>
      <w:r>
        <w:rPr>
          <w:sz w:val="24"/>
          <w:vertAlign w:val="subscript"/>
        </w:rPr>
        <w:t xml:space="preserve">пред.т.</w:t>
      </w:r>
      <w:r>
        <w:rPr>
          <w:sz w:val="24"/>
        </w:rPr>
        <w:t xml:space="preserve">), на основании сведений, содержащихся в отчетности о выполнении самостоятельной утилизации отходов от использования товаров за предыдущий отчетный период. В случае отсутствия таких данных в строке </w:t>
      </w:r>
      <w:hyperlink w:history="0" w:anchor="P669" w:tooltip="15">
        <w:r>
          <w:rPr>
            <w:sz w:val="24"/>
            <w:color w:val="0000ff"/>
          </w:rPr>
          <w:t xml:space="preserve">графы 15</w:t>
        </w:r>
      </w:hyperlink>
      <w:r>
        <w:rPr>
          <w:sz w:val="24"/>
        </w:rPr>
        <w:t xml:space="preserve"> ставится значение "0".</w:t>
      </w:r>
    </w:p>
    <w:bookmarkStart w:id="820" w:name="P820"/>
    <w:bookmarkEnd w:id="820"/>
    <w:p>
      <w:pPr>
        <w:pStyle w:val="0"/>
        <w:spacing w:before="240" w:lineRule="auto"/>
        <w:ind w:firstLine="540"/>
        <w:jc w:val="both"/>
      </w:pPr>
      <w:r>
        <w:rPr>
          <w:sz w:val="24"/>
        </w:rPr>
        <w:t xml:space="preserve">&lt;13&gt; Указывается масса утилизированных отходов, засчитываемая в счет выполнения норматива утилизации в отчетном периоде (М</w:t>
      </w:r>
      <w:r>
        <w:rPr>
          <w:sz w:val="24"/>
          <w:vertAlign w:val="subscript"/>
        </w:rPr>
        <w:t xml:space="preserve">засч.т.</w:t>
      </w:r>
      <w:r>
        <w:rPr>
          <w:sz w:val="24"/>
        </w:rPr>
        <w:t xml:space="preserve">), определяется как разница между значениями М</w:t>
      </w:r>
      <w:r>
        <w:rPr>
          <w:sz w:val="24"/>
          <w:vertAlign w:val="subscript"/>
        </w:rPr>
        <w:t xml:space="preserve">ут.т.</w:t>
      </w:r>
      <w:r>
        <w:rPr>
          <w:sz w:val="24"/>
        </w:rPr>
        <w:t xml:space="preserve"> </w:t>
      </w:r>
      <w:hyperlink w:history="0" w:anchor="P622" w:tooltip="6">
        <w:r>
          <w:rPr>
            <w:sz w:val="24"/>
            <w:color w:val="0000ff"/>
          </w:rPr>
          <w:t xml:space="preserve">(графа 6)</w:t>
        </w:r>
      </w:hyperlink>
      <w:r>
        <w:rPr>
          <w:sz w:val="24"/>
        </w:rPr>
        <w:t xml:space="preserve">, и М</w:t>
      </w:r>
      <w:r>
        <w:rPr>
          <w:sz w:val="24"/>
          <w:vertAlign w:val="subscript"/>
        </w:rPr>
        <w:t xml:space="preserve">пред.т.</w:t>
      </w:r>
      <w:r>
        <w:rPr>
          <w:sz w:val="24"/>
        </w:rPr>
        <w:t xml:space="preserve"> </w:t>
      </w:r>
      <w:hyperlink w:history="0" w:anchor="P669" w:tooltip="15">
        <w:r>
          <w:rPr>
            <w:sz w:val="24"/>
            <w:color w:val="0000ff"/>
          </w:rPr>
          <w:t xml:space="preserve">(графа 15)</w:t>
        </w:r>
      </w:hyperlink>
      <w:r>
        <w:rPr>
          <w:sz w:val="24"/>
        </w:rPr>
        <w:t xml:space="preserve">, и М</w:t>
      </w:r>
      <w:r>
        <w:rPr>
          <w:sz w:val="24"/>
          <w:vertAlign w:val="subscript"/>
        </w:rPr>
        <w:t xml:space="preserve">подл.ут.т.</w:t>
      </w:r>
      <w:r>
        <w:rPr>
          <w:sz w:val="24"/>
        </w:rPr>
        <w:t xml:space="preserve"> </w:t>
      </w:r>
      <w:hyperlink w:history="0" w:anchor="P621" w:tooltip="5">
        <w:r>
          <w:rPr>
            <w:sz w:val="24"/>
            <w:color w:val="0000ff"/>
          </w:rPr>
          <w:t xml:space="preserve">(графа 5)</w:t>
        </w:r>
      </w:hyperlink>
      <w:r>
        <w:rPr>
          <w:sz w:val="24"/>
        </w:rPr>
        <w:t xml:space="preserve">.</w:t>
      </w:r>
    </w:p>
    <w:p>
      <w:pPr>
        <w:pStyle w:val="0"/>
        <w:spacing w:before="240" w:lineRule="auto"/>
        <w:ind w:firstLine="540"/>
        <w:jc w:val="both"/>
      </w:pPr>
      <w:r>
        <w:rPr>
          <w:sz w:val="24"/>
        </w:rPr>
        <w:t xml:space="preserve">В случае если полученное значение М</w:t>
      </w:r>
      <w:r>
        <w:rPr>
          <w:sz w:val="24"/>
          <w:vertAlign w:val="subscript"/>
        </w:rPr>
        <w:t xml:space="preserve">засч.т.</w:t>
      </w:r>
      <w:r>
        <w:rPr>
          <w:sz w:val="24"/>
        </w:rPr>
        <w:t xml:space="preserve"> больше значения "0", в строке </w:t>
      </w:r>
      <w:hyperlink w:history="0" w:anchor="P670" w:tooltip="16">
        <w:r>
          <w:rPr>
            <w:sz w:val="24"/>
            <w:color w:val="0000ff"/>
          </w:rPr>
          <w:t xml:space="preserve">графы 16</w:t>
        </w:r>
      </w:hyperlink>
      <w:r>
        <w:rPr>
          <w:sz w:val="24"/>
        </w:rPr>
        <w:t xml:space="preserve"> ставится значение, равное М</w:t>
      </w:r>
      <w:r>
        <w:rPr>
          <w:sz w:val="24"/>
          <w:vertAlign w:val="subscript"/>
        </w:rPr>
        <w:t xml:space="preserve">подл.ут.т.</w:t>
      </w:r>
      <w:r>
        <w:rPr>
          <w:sz w:val="24"/>
        </w:rPr>
        <w:t xml:space="preserve"> </w:t>
      </w:r>
      <w:hyperlink w:history="0" w:anchor="P621" w:tooltip="5">
        <w:r>
          <w:rPr>
            <w:sz w:val="24"/>
            <w:color w:val="0000ff"/>
          </w:rPr>
          <w:t xml:space="preserve">(графа 5)</w:t>
        </w:r>
      </w:hyperlink>
      <w:r>
        <w:rPr>
          <w:sz w:val="24"/>
        </w:rPr>
        <w:t xml:space="preserve">.</w:t>
      </w:r>
    </w:p>
    <w:p>
      <w:pPr>
        <w:pStyle w:val="0"/>
        <w:spacing w:before="240" w:lineRule="auto"/>
        <w:ind w:firstLine="540"/>
        <w:jc w:val="both"/>
      </w:pPr>
      <w:r>
        <w:rPr>
          <w:sz w:val="24"/>
        </w:rPr>
        <w:t xml:space="preserve">В случае если полученное значение М</w:t>
      </w:r>
      <w:r>
        <w:rPr>
          <w:sz w:val="24"/>
          <w:vertAlign w:val="subscript"/>
        </w:rPr>
        <w:t xml:space="preserve">засч.т.</w:t>
      </w:r>
      <w:r>
        <w:rPr>
          <w:sz w:val="24"/>
        </w:rPr>
        <w:t xml:space="preserve"> меньше значения "0", в строке </w:t>
      </w:r>
      <w:hyperlink w:history="0" w:anchor="P670" w:tooltip="16">
        <w:r>
          <w:rPr>
            <w:sz w:val="24"/>
            <w:color w:val="0000ff"/>
          </w:rPr>
          <w:t xml:space="preserve">графы 16</w:t>
        </w:r>
      </w:hyperlink>
      <w:r>
        <w:rPr>
          <w:sz w:val="24"/>
        </w:rPr>
        <w:t xml:space="preserve"> ставится значение, равное сумме значений М</w:t>
      </w:r>
      <w:r>
        <w:rPr>
          <w:sz w:val="24"/>
          <w:vertAlign w:val="subscript"/>
        </w:rPr>
        <w:t xml:space="preserve">ут.т.</w:t>
      </w:r>
      <w:r>
        <w:rPr>
          <w:sz w:val="24"/>
        </w:rPr>
        <w:t xml:space="preserve"> </w:t>
      </w:r>
      <w:hyperlink w:history="0" w:anchor="P622" w:tooltip="6">
        <w:r>
          <w:rPr>
            <w:sz w:val="24"/>
            <w:color w:val="0000ff"/>
          </w:rPr>
          <w:t xml:space="preserve">(графа 6)</w:t>
        </w:r>
      </w:hyperlink>
      <w:r>
        <w:rPr>
          <w:sz w:val="24"/>
        </w:rPr>
        <w:t xml:space="preserve"> и М</w:t>
      </w:r>
      <w:r>
        <w:rPr>
          <w:sz w:val="24"/>
          <w:vertAlign w:val="subscript"/>
        </w:rPr>
        <w:t xml:space="preserve">пред.т.</w:t>
      </w:r>
      <w:r>
        <w:rPr>
          <w:sz w:val="24"/>
        </w:rPr>
        <w:t xml:space="preserve">. </w:t>
      </w:r>
      <w:hyperlink w:history="0" w:anchor="P669" w:tooltip="15">
        <w:r>
          <w:rPr>
            <w:sz w:val="24"/>
            <w:color w:val="0000ff"/>
          </w:rPr>
          <w:t xml:space="preserve">(графа 15)</w:t>
        </w:r>
      </w:hyperlink>
      <w:r>
        <w:rPr>
          <w:sz w:val="24"/>
        </w:rPr>
        <w:t xml:space="preserve">.</w:t>
      </w:r>
    </w:p>
    <w:p>
      <w:pPr>
        <w:pStyle w:val="0"/>
        <w:spacing w:before="240" w:lineRule="auto"/>
        <w:ind w:firstLine="540"/>
        <w:jc w:val="both"/>
      </w:pPr>
      <w:r>
        <w:rPr>
          <w:sz w:val="24"/>
        </w:rPr>
        <w:t xml:space="preserve">Строка </w:t>
      </w:r>
      <w:hyperlink w:history="0" w:anchor="P670" w:tooltip="16">
        <w:r>
          <w:rPr>
            <w:sz w:val="24"/>
            <w:color w:val="0000ff"/>
          </w:rPr>
          <w:t xml:space="preserve">графы 16</w:t>
        </w:r>
      </w:hyperlink>
      <w:r>
        <w:rPr>
          <w:sz w:val="24"/>
        </w:rPr>
        <w:t xml:space="preserve"> заполняется автоматически при использовании интерактивных форм отчетности.</w:t>
      </w:r>
    </w:p>
    <w:bookmarkStart w:id="824" w:name="P824"/>
    <w:bookmarkEnd w:id="824"/>
    <w:p>
      <w:pPr>
        <w:pStyle w:val="0"/>
        <w:spacing w:before="240" w:lineRule="auto"/>
        <w:ind w:firstLine="540"/>
        <w:jc w:val="both"/>
      </w:pPr>
      <w:r>
        <w:rPr>
          <w:sz w:val="24"/>
        </w:rPr>
        <w:t xml:space="preserve">&lt;14&gt; Указывается масса отходов, утилизированных в отчетном периоде сверх норматива утилизации, для учета при выполнении норматива утилизации в будущем отчетном периоде (М</w:t>
      </w:r>
      <w:r>
        <w:rPr>
          <w:sz w:val="24"/>
          <w:vertAlign w:val="subscript"/>
        </w:rPr>
        <w:t xml:space="preserve">буд.т.</w:t>
      </w:r>
      <w:r>
        <w:rPr>
          <w:sz w:val="24"/>
        </w:rPr>
        <w:t xml:space="preserve">), определяется как разница между значениями М</w:t>
      </w:r>
      <w:r>
        <w:rPr>
          <w:sz w:val="24"/>
          <w:vertAlign w:val="subscript"/>
        </w:rPr>
        <w:t xml:space="preserve">ут.т.</w:t>
      </w:r>
      <w:r>
        <w:rPr>
          <w:sz w:val="24"/>
        </w:rPr>
        <w:t xml:space="preserve"> </w:t>
      </w:r>
      <w:hyperlink w:history="0" w:anchor="P622" w:tooltip="6">
        <w:r>
          <w:rPr>
            <w:sz w:val="24"/>
            <w:color w:val="0000ff"/>
          </w:rPr>
          <w:t xml:space="preserve">(графа 6)</w:t>
        </w:r>
      </w:hyperlink>
      <w:r>
        <w:rPr>
          <w:sz w:val="24"/>
        </w:rPr>
        <w:t xml:space="preserve"> и М</w:t>
      </w:r>
      <w:r>
        <w:rPr>
          <w:sz w:val="24"/>
          <w:vertAlign w:val="subscript"/>
        </w:rPr>
        <w:t xml:space="preserve">подл.ут.т.</w:t>
      </w:r>
      <w:r>
        <w:rPr>
          <w:sz w:val="24"/>
        </w:rPr>
        <w:t xml:space="preserve"> </w:t>
      </w:r>
      <w:hyperlink w:history="0" w:anchor="P621" w:tooltip="5">
        <w:r>
          <w:rPr>
            <w:sz w:val="24"/>
            <w:color w:val="0000ff"/>
          </w:rPr>
          <w:t xml:space="preserve">(графа 5)</w:t>
        </w:r>
      </w:hyperlink>
      <w:r>
        <w:rPr>
          <w:sz w:val="24"/>
        </w:rPr>
        <w:t xml:space="preserve">.</w:t>
      </w:r>
    </w:p>
    <w:p>
      <w:pPr>
        <w:pStyle w:val="0"/>
        <w:spacing w:before="240" w:lineRule="auto"/>
        <w:ind w:firstLine="540"/>
        <w:jc w:val="both"/>
      </w:pPr>
      <w:r>
        <w:rPr>
          <w:sz w:val="24"/>
        </w:rPr>
        <w:t xml:space="preserve">В случае если полученное значение М</w:t>
      </w:r>
      <w:r>
        <w:rPr>
          <w:sz w:val="24"/>
          <w:vertAlign w:val="subscript"/>
        </w:rPr>
        <w:t xml:space="preserve">буд.т.</w:t>
      </w:r>
      <w:r>
        <w:rPr>
          <w:sz w:val="24"/>
        </w:rPr>
        <w:t xml:space="preserve"> меньше значения "0", в строке </w:t>
      </w:r>
      <w:hyperlink w:history="0" w:anchor="P671" w:tooltip="17">
        <w:r>
          <w:rPr>
            <w:sz w:val="24"/>
            <w:color w:val="0000ff"/>
          </w:rPr>
          <w:t xml:space="preserve">графы 17</w:t>
        </w:r>
      </w:hyperlink>
      <w:r>
        <w:rPr>
          <w:sz w:val="24"/>
        </w:rPr>
        <w:t xml:space="preserve"> ставится значение "0".</w:t>
      </w:r>
    </w:p>
    <w:p>
      <w:pPr>
        <w:pStyle w:val="0"/>
        <w:spacing w:before="240" w:lineRule="auto"/>
        <w:ind w:firstLine="540"/>
        <w:jc w:val="both"/>
      </w:pPr>
      <w:r>
        <w:rPr>
          <w:sz w:val="24"/>
        </w:rPr>
        <w:t xml:space="preserve">Строка </w:t>
      </w:r>
      <w:hyperlink w:history="0" w:anchor="P671" w:tooltip="17">
        <w:r>
          <w:rPr>
            <w:sz w:val="24"/>
            <w:color w:val="0000ff"/>
          </w:rPr>
          <w:t xml:space="preserve">графы 17</w:t>
        </w:r>
      </w:hyperlink>
      <w:r>
        <w:rPr>
          <w:sz w:val="24"/>
        </w:rPr>
        <w:t xml:space="preserve"> заполняется автоматически при использовании интерактивных форм отчетности.</w:t>
      </w:r>
    </w:p>
    <w:bookmarkStart w:id="827" w:name="P827"/>
    <w:bookmarkEnd w:id="827"/>
    <w:p>
      <w:pPr>
        <w:pStyle w:val="0"/>
        <w:spacing w:before="240" w:lineRule="auto"/>
        <w:ind w:firstLine="540"/>
        <w:jc w:val="both"/>
      </w:pPr>
      <w:r>
        <w:rPr>
          <w:sz w:val="24"/>
        </w:rPr>
        <w:t xml:space="preserve">&lt;15&gt; Указывается масса отходов, за которые необходимо уплатить экологический сбор (М</w:t>
      </w:r>
      <w:r>
        <w:rPr>
          <w:sz w:val="24"/>
          <w:vertAlign w:val="subscript"/>
        </w:rPr>
        <w:t xml:space="preserve">эс.т.</w:t>
      </w:r>
      <w:r>
        <w:rPr>
          <w:sz w:val="24"/>
        </w:rPr>
        <w:t xml:space="preserve">), определяемая как разница между значением М</w:t>
      </w:r>
      <w:r>
        <w:rPr>
          <w:sz w:val="24"/>
          <w:vertAlign w:val="subscript"/>
        </w:rPr>
        <w:t xml:space="preserve">подл.ут.т.</w:t>
      </w:r>
      <w:r>
        <w:rPr>
          <w:sz w:val="24"/>
        </w:rPr>
        <w:t xml:space="preserve"> </w:t>
      </w:r>
      <w:hyperlink w:history="0" w:anchor="P621" w:tooltip="5">
        <w:r>
          <w:rPr>
            <w:sz w:val="24"/>
            <w:color w:val="0000ff"/>
          </w:rPr>
          <w:t xml:space="preserve">(графа 5)</w:t>
        </w:r>
      </w:hyperlink>
      <w:r>
        <w:rPr>
          <w:sz w:val="24"/>
        </w:rPr>
        <w:t xml:space="preserve"> и значением М</w:t>
      </w:r>
      <w:r>
        <w:rPr>
          <w:sz w:val="24"/>
          <w:vertAlign w:val="subscript"/>
        </w:rPr>
        <w:t xml:space="preserve">засч.т.</w:t>
      </w:r>
      <w:r>
        <w:rPr>
          <w:sz w:val="24"/>
        </w:rPr>
        <w:t xml:space="preserve"> </w:t>
      </w:r>
      <w:hyperlink w:history="0" w:anchor="P670" w:tooltip="16">
        <w:r>
          <w:rPr>
            <w:sz w:val="24"/>
            <w:color w:val="0000ff"/>
          </w:rPr>
          <w:t xml:space="preserve">(графа 16)</w:t>
        </w:r>
      </w:hyperlink>
      <w:r>
        <w:rPr>
          <w:sz w:val="24"/>
        </w:rPr>
        <w:t xml:space="preserve">. В случае если полученное значение М</w:t>
      </w:r>
      <w:r>
        <w:rPr>
          <w:sz w:val="24"/>
          <w:vertAlign w:val="subscript"/>
        </w:rPr>
        <w:t xml:space="preserve">эс.т.</w:t>
      </w:r>
      <w:r>
        <w:rPr>
          <w:sz w:val="24"/>
        </w:rPr>
        <w:t xml:space="preserve"> меньше значения "0", в строке </w:t>
      </w:r>
      <w:hyperlink w:history="0" w:anchor="P672" w:tooltip="18">
        <w:r>
          <w:rPr>
            <w:sz w:val="24"/>
            <w:color w:val="0000ff"/>
          </w:rPr>
          <w:t xml:space="preserve">графы 18</w:t>
        </w:r>
      </w:hyperlink>
      <w:r>
        <w:rPr>
          <w:sz w:val="24"/>
        </w:rPr>
        <w:t xml:space="preserve"> ставится значение "0".</w:t>
      </w:r>
    </w:p>
    <w:bookmarkStart w:id="828" w:name="P828"/>
    <w:bookmarkEnd w:id="828"/>
    <w:p>
      <w:pPr>
        <w:pStyle w:val="0"/>
        <w:spacing w:before="240" w:lineRule="auto"/>
        <w:ind w:firstLine="540"/>
        <w:jc w:val="both"/>
      </w:pPr>
      <w:r>
        <w:rPr>
          <w:sz w:val="24"/>
        </w:rPr>
        <w:t xml:space="preserve">&lt;16&gt; Строка </w:t>
      </w:r>
      <w:hyperlink w:history="0" w:anchor="P673" w:tooltip="19">
        <w:r>
          <w:rPr>
            <w:sz w:val="24"/>
            <w:color w:val="0000ff"/>
          </w:rPr>
          <w:t xml:space="preserve">графы 19 таблицы 1</w:t>
        </w:r>
      </w:hyperlink>
      <w:r>
        <w:rPr>
          <w:sz w:val="24"/>
        </w:rPr>
        <w:t xml:space="preserve"> и строка </w:t>
      </w:r>
      <w:hyperlink w:history="0" w:anchor="P708" w:tooltip="2">
        <w:r>
          <w:rPr>
            <w:sz w:val="24"/>
            <w:color w:val="0000ff"/>
          </w:rPr>
          <w:t xml:space="preserve">графы 2 таблицы 2</w:t>
        </w:r>
      </w:hyperlink>
      <w:r>
        <w:rPr>
          <w:sz w:val="24"/>
        </w:rPr>
        <w:t xml:space="preserve"> заполняются при необходимости (на усмотрение импортера товара в случае необходимости представления разъяснений, дополнений и т.п.).</w:t>
      </w:r>
    </w:p>
    <w:bookmarkStart w:id="829" w:name="P829"/>
    <w:bookmarkEnd w:id="829"/>
    <w:p>
      <w:pPr>
        <w:pStyle w:val="0"/>
        <w:spacing w:before="240" w:lineRule="auto"/>
        <w:ind w:firstLine="540"/>
        <w:jc w:val="both"/>
      </w:pPr>
      <w:r>
        <w:rPr>
          <w:sz w:val="24"/>
        </w:rPr>
        <w:t xml:space="preserve">&lt;17&gt; В </w:t>
      </w:r>
      <w:hyperlink w:history="0" w:anchor="P688" w:tooltip="Таблица 2">
        <w:r>
          <w:rPr>
            <w:sz w:val="24"/>
            <w:color w:val="0000ff"/>
          </w:rPr>
          <w:t xml:space="preserve">таблице 2</w:t>
        </w:r>
      </w:hyperlink>
      <w:r>
        <w:rPr>
          <w:sz w:val="24"/>
        </w:rPr>
        <w:t xml:space="preserve"> указываются номер и наименование группы упаковки товаров в соответствии с </w:t>
      </w:r>
      <w:r>
        <w:rPr>
          <w:sz w:val="24"/>
        </w:rPr>
        <w:t xml:space="preserve">разделом III</w:t>
      </w:r>
      <w:r>
        <w:rPr>
          <w:sz w:val="24"/>
        </w:rPr>
        <w:t xml:space="preserve"> перечней товаров, упаковки, отходы от использования которых подлежат утилизации, утвержденных постановлением Правительства Российской Федерации от 29 декабря 2023 г. N 2414 "Об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упаковки", а затем построчно позиции по упаковке товара - по каждому наименованию упаковки из указанных перечней, идентифицируемой по материалу, из которого сделана упаковка товара (для упаковки товаров из комбинированных материалов - по основному материалу по массе в композиции) и дополнительно по виду материала упаковки - отдельными строками </w:t>
      </w:r>
      <w:hyperlink w:history="0" w:anchor="P708" w:tooltip="2">
        <w:r>
          <w:rPr>
            <w:sz w:val="24"/>
            <w:color w:val="0000ff"/>
          </w:rPr>
          <w:t xml:space="preserve">(графа 2)</w:t>
        </w:r>
      </w:hyperlink>
      <w:r>
        <w:rPr>
          <w:sz w:val="24"/>
        </w:rPr>
        <w:t xml:space="preserve">.</w:t>
      </w:r>
    </w:p>
    <w:bookmarkStart w:id="830" w:name="P830"/>
    <w:bookmarkEnd w:id="830"/>
    <w:p>
      <w:pPr>
        <w:pStyle w:val="0"/>
        <w:spacing w:before="240" w:lineRule="auto"/>
        <w:ind w:firstLine="540"/>
        <w:jc w:val="both"/>
      </w:pPr>
      <w:r>
        <w:rPr>
          <w:sz w:val="24"/>
        </w:rPr>
        <w:t xml:space="preserve">&lt;18&gt; Строки </w:t>
      </w:r>
      <w:hyperlink w:history="0" w:anchor="P709" w:tooltip="3">
        <w:r>
          <w:rPr>
            <w:sz w:val="24"/>
            <w:color w:val="0000ff"/>
          </w:rPr>
          <w:t xml:space="preserve">граф 3</w:t>
        </w:r>
      </w:hyperlink>
      <w:r>
        <w:rPr>
          <w:sz w:val="24"/>
        </w:rPr>
        <w:t xml:space="preserve"> - </w:t>
      </w:r>
      <w:hyperlink w:history="0" w:anchor="P712" w:tooltip="6">
        <w:r>
          <w:rPr>
            <w:sz w:val="24"/>
            <w:color w:val="0000ff"/>
          </w:rPr>
          <w:t xml:space="preserve">6</w:t>
        </w:r>
      </w:hyperlink>
      <w:r>
        <w:rPr>
          <w:sz w:val="24"/>
        </w:rPr>
        <w:t xml:space="preserve"> заполняются импортером товара в зависимости от маркировки упаковки ввозимого товара в упаковке, позволяющей импортеру товара идентифицировать упаковку товара по буквенному обозначению и цифровому коду упаковки по техническому </w:t>
      </w:r>
      <w:r>
        <w:rPr>
          <w:sz w:val="24"/>
        </w:rPr>
        <w:t xml:space="preserve">регламенту</w:t>
      </w:r>
      <w:r>
        <w:rPr>
          <w:sz w:val="24"/>
        </w:rPr>
        <w:t xml:space="preserve"> Таможенного союза "О безопасности упаковки" (ТР ТС 005/2011), и (или) по коду по Общероссийскому </w:t>
      </w:r>
      <w:r>
        <w:rPr>
          <w:sz w:val="24"/>
        </w:rPr>
        <w:t xml:space="preserve">классификатору</w:t>
      </w:r>
      <w:r>
        <w:rPr>
          <w:sz w:val="24"/>
        </w:rPr>
        <w:t xml:space="preserve"> продукции по видам экономической деятельности ОК 034-2014 (КПЕС 2008), и (или) по коду единой Товарной </w:t>
      </w:r>
      <w:r>
        <w:rPr>
          <w:sz w:val="24"/>
        </w:rPr>
        <w:t xml:space="preserve">номенклатуры</w:t>
      </w:r>
      <w:r>
        <w:rPr>
          <w:sz w:val="24"/>
        </w:rPr>
        <w:t xml:space="preserve"> внешнеэкономической деятельности Евразийского экономического союза (ТН ВЭД ЕАЭС).</w:t>
      </w:r>
    </w:p>
    <w:bookmarkStart w:id="831" w:name="P831"/>
    <w:bookmarkEnd w:id="831"/>
    <w:p>
      <w:pPr>
        <w:pStyle w:val="0"/>
        <w:spacing w:before="240" w:lineRule="auto"/>
        <w:ind w:firstLine="540"/>
        <w:jc w:val="both"/>
      </w:pPr>
      <w:r>
        <w:rPr>
          <w:sz w:val="24"/>
        </w:rPr>
        <w:t xml:space="preserve">&lt;19&gt; Указывается масса отходов от использования упаковки, подлежащих утилизации в отчетном периоде, с учетом норматива утилизации (М</w:t>
      </w:r>
      <w:r>
        <w:rPr>
          <w:sz w:val="24"/>
          <w:vertAlign w:val="subscript"/>
        </w:rPr>
        <w:t xml:space="preserve">подл.ут.уп.</w:t>
      </w:r>
      <w:r>
        <w:rPr>
          <w:sz w:val="24"/>
        </w:rPr>
        <w:t xml:space="preserve">). Строка </w:t>
      </w:r>
      <w:hyperlink w:history="0" w:anchor="P713" w:tooltip="7">
        <w:r>
          <w:rPr>
            <w:sz w:val="24"/>
            <w:color w:val="0000ff"/>
          </w:rPr>
          <w:t xml:space="preserve">графы 7</w:t>
        </w:r>
      </w:hyperlink>
      <w:r>
        <w:rPr>
          <w:sz w:val="24"/>
        </w:rPr>
        <w:t xml:space="preserve"> подлежит автоматическому заполнению в соответствии со значениями массы отходов от использования упаковки, в отношении которых сохраняется обязанность обеспечить утилизацию, представленными импортером товара в строке </w:t>
      </w:r>
      <w:hyperlink w:history="0" w:anchor="P767" w:tooltip="19">
        <w:r>
          <w:rPr>
            <w:sz w:val="24"/>
            <w:color w:val="0000ff"/>
          </w:rPr>
          <w:t xml:space="preserve">графы 19 таблицы 2 раздела II</w:t>
        </w:r>
      </w:hyperlink>
      <w:r>
        <w:rPr>
          <w:sz w:val="24"/>
        </w:rPr>
        <w:t xml:space="preserve"> отчетности о массе товаров, упаковки, ввезенных из государств, не являющихся членами Евразийского экономического союза, согласно </w:t>
      </w:r>
      <w:hyperlink w:history="0" w:anchor="P199" w:tooltip="ОТЧЕТНОСТЬ">
        <w:r>
          <w:rPr>
            <w:sz w:val="24"/>
            <w:color w:val="0000ff"/>
          </w:rPr>
          <w:t xml:space="preserve">приложению N 2</w:t>
        </w:r>
      </w:hyperlink>
      <w:r>
        <w:rPr>
          <w:sz w:val="24"/>
        </w:rPr>
        <w:t xml:space="preserve"> к Положению об эксперименте при использовании импортером товара интерактивных форм отчетности.</w:t>
      </w:r>
    </w:p>
    <w:bookmarkStart w:id="832" w:name="P832"/>
    <w:bookmarkEnd w:id="832"/>
    <w:p>
      <w:pPr>
        <w:pStyle w:val="0"/>
        <w:spacing w:before="240" w:lineRule="auto"/>
        <w:ind w:firstLine="540"/>
        <w:jc w:val="both"/>
      </w:pPr>
      <w:r>
        <w:rPr>
          <w:sz w:val="24"/>
        </w:rPr>
        <w:t xml:space="preserve">&lt;20&gt; Указывается общая масса утилизированных отходов от использования упаковки и (или) использованного вторичного сырья, полученного из таких отходов, при производстве товаров (продукции) в отчетном периоде (М</w:t>
      </w:r>
      <w:r>
        <w:rPr>
          <w:sz w:val="24"/>
          <w:vertAlign w:val="subscript"/>
        </w:rPr>
        <w:t xml:space="preserve">ут.уп.</w:t>
      </w:r>
      <w:r>
        <w:rPr>
          <w:sz w:val="24"/>
        </w:rPr>
        <w:t xml:space="preserve">) в целях исполнения импортерами товара обязанности по обеспечению самостоятельной утилизации отходов от использования упаковки, сведения о которой указаны в строках </w:t>
      </w:r>
      <w:hyperlink w:history="0" w:anchor="P618" w:tooltip="2">
        <w:r>
          <w:rPr>
            <w:sz w:val="24"/>
            <w:color w:val="0000ff"/>
          </w:rPr>
          <w:t xml:space="preserve">граф 2</w:t>
        </w:r>
      </w:hyperlink>
      <w:r>
        <w:rPr>
          <w:sz w:val="24"/>
        </w:rPr>
        <w:t xml:space="preserve"> - </w:t>
      </w:r>
      <w:hyperlink w:history="0" w:anchor="P712" w:tooltip="6">
        <w:r>
          <w:rPr>
            <w:sz w:val="24"/>
            <w:color w:val="0000ff"/>
          </w:rPr>
          <w:t xml:space="preserve">6</w:t>
        </w:r>
      </w:hyperlink>
      <w:r>
        <w:rPr>
          <w:sz w:val="24"/>
        </w:rPr>
        <w:t xml:space="preserve">, в соответствии с перечнем-конвертером. Определяется как сумма значений в строках </w:t>
      </w:r>
      <w:hyperlink w:history="0" w:anchor="P716" w:tooltip="10">
        <w:r>
          <w:rPr>
            <w:sz w:val="24"/>
            <w:color w:val="0000ff"/>
          </w:rPr>
          <w:t xml:space="preserve">граф 10</w:t>
        </w:r>
      </w:hyperlink>
      <w:r>
        <w:rPr>
          <w:sz w:val="24"/>
        </w:rPr>
        <w:t xml:space="preserve"> и </w:t>
      </w:r>
      <w:hyperlink w:history="0" w:anchor="P717" w:tooltip="11">
        <w:r>
          <w:rPr>
            <w:sz w:val="24"/>
            <w:color w:val="0000ff"/>
          </w:rPr>
          <w:t xml:space="preserve">11</w:t>
        </w:r>
      </w:hyperlink>
      <w:r>
        <w:rPr>
          <w:sz w:val="24"/>
        </w:rPr>
        <w:t xml:space="preserve">. Строка </w:t>
      </w:r>
      <w:hyperlink w:history="0" w:anchor="P624" w:tooltip="8">
        <w:r>
          <w:rPr>
            <w:sz w:val="24"/>
            <w:color w:val="0000ff"/>
          </w:rPr>
          <w:t xml:space="preserve">графы 8</w:t>
        </w:r>
      </w:hyperlink>
      <w:r>
        <w:rPr>
          <w:sz w:val="24"/>
        </w:rPr>
        <w:t xml:space="preserve"> заполняется автоматически при использовании интерактивных форм отчетности.</w:t>
      </w:r>
    </w:p>
    <w:bookmarkStart w:id="833" w:name="P833"/>
    <w:bookmarkEnd w:id="833"/>
    <w:p>
      <w:pPr>
        <w:pStyle w:val="0"/>
        <w:spacing w:before="240" w:lineRule="auto"/>
        <w:ind w:firstLine="540"/>
        <w:jc w:val="both"/>
      </w:pPr>
      <w:r>
        <w:rPr>
          <w:sz w:val="24"/>
        </w:rPr>
        <w:t xml:space="preserve">&lt;21&gt; Указывается масса утилизированных отходов от использования упаковки и (или) использованного вторичного сырья, полученного из таких отходов, при производстве товаров (продукции) в отчетном периоде импортером товара самостоятельно. В случае отсутствия таких данных в строке </w:t>
      </w:r>
      <w:hyperlink w:history="0" w:anchor="P716" w:tooltip="10">
        <w:r>
          <w:rPr>
            <w:sz w:val="24"/>
            <w:color w:val="0000ff"/>
          </w:rPr>
          <w:t xml:space="preserve">графы 10</w:t>
        </w:r>
      </w:hyperlink>
      <w:r>
        <w:rPr>
          <w:sz w:val="24"/>
        </w:rPr>
        <w:t xml:space="preserve"> ставится значение "0".</w:t>
      </w:r>
    </w:p>
    <w:bookmarkStart w:id="834" w:name="P834"/>
    <w:bookmarkEnd w:id="834"/>
    <w:p>
      <w:pPr>
        <w:pStyle w:val="0"/>
        <w:spacing w:before="240" w:lineRule="auto"/>
        <w:ind w:firstLine="540"/>
        <w:jc w:val="both"/>
      </w:pPr>
      <w:r>
        <w:rPr>
          <w:sz w:val="24"/>
        </w:rPr>
        <w:t xml:space="preserve">&lt;22&gt; Указывается масса утилизированных отходов от использования упаковки и (или) использованного вторичного сырья, полученного из отходов от использования товаров, при производстве товаров (продукции) в отчетном периоде юридическими лицами, индивидуальными предпринимателями, осуществляющими утилизацию отходов от использования товаров, включенными в реестр утилизаторов, и с которыми импортером товара заключены договоры с утилизаторами. В случае отсутствия таких данных в строке </w:t>
      </w:r>
      <w:hyperlink w:history="0" w:anchor="P717" w:tooltip="11">
        <w:r>
          <w:rPr>
            <w:sz w:val="24"/>
            <w:color w:val="0000ff"/>
          </w:rPr>
          <w:t xml:space="preserve">графы 11</w:t>
        </w:r>
      </w:hyperlink>
      <w:r>
        <w:rPr>
          <w:sz w:val="24"/>
        </w:rPr>
        <w:t xml:space="preserve"> ставится значение "0".</w:t>
      </w:r>
    </w:p>
    <w:bookmarkStart w:id="835" w:name="P835"/>
    <w:bookmarkEnd w:id="835"/>
    <w:p>
      <w:pPr>
        <w:pStyle w:val="0"/>
        <w:spacing w:before="240" w:lineRule="auto"/>
        <w:ind w:firstLine="540"/>
        <w:jc w:val="both"/>
      </w:pPr>
      <w:r>
        <w:rPr>
          <w:sz w:val="24"/>
        </w:rPr>
        <w:t xml:space="preserve">&lt;23&gt; Указывается масса произведенного товара (продукции), сведения о котором указаны в строках </w:t>
      </w:r>
      <w:hyperlink w:history="0" w:anchor="P718" w:tooltip="12">
        <w:r>
          <w:rPr>
            <w:sz w:val="24"/>
            <w:color w:val="0000ff"/>
          </w:rPr>
          <w:t xml:space="preserve">граф 12</w:t>
        </w:r>
      </w:hyperlink>
      <w:r>
        <w:rPr>
          <w:sz w:val="24"/>
        </w:rPr>
        <w:t xml:space="preserve"> и </w:t>
      </w:r>
      <w:hyperlink w:history="0" w:anchor="P719" w:tooltip="13">
        <w:r>
          <w:rPr>
            <w:sz w:val="24"/>
            <w:color w:val="0000ff"/>
          </w:rPr>
          <w:t xml:space="preserve">13</w:t>
        </w:r>
      </w:hyperlink>
      <w:r>
        <w:rPr>
          <w:sz w:val="24"/>
        </w:rPr>
        <w:t xml:space="preserve">, произведенного с использованием отходов от использования упаковки, сведения о которой указаны в строках </w:t>
      </w:r>
      <w:hyperlink w:history="0" w:anchor="P618" w:tooltip="2">
        <w:r>
          <w:rPr>
            <w:sz w:val="24"/>
            <w:color w:val="0000ff"/>
          </w:rPr>
          <w:t xml:space="preserve">граф 2</w:t>
        </w:r>
      </w:hyperlink>
      <w:r>
        <w:rPr>
          <w:sz w:val="24"/>
        </w:rPr>
        <w:t xml:space="preserve"> - </w:t>
      </w:r>
      <w:hyperlink w:history="0" w:anchor="P712" w:tooltip="6">
        <w:r>
          <w:rPr>
            <w:sz w:val="24"/>
            <w:color w:val="0000ff"/>
          </w:rPr>
          <w:t xml:space="preserve">6</w:t>
        </w:r>
      </w:hyperlink>
      <w:r>
        <w:rPr>
          <w:sz w:val="24"/>
        </w:rPr>
        <w:t xml:space="preserve">, вторичного сырья, полученного из таких отходов. Заполняется на основании сведений, содержащихся в актах утилизации отходов.</w:t>
      </w:r>
    </w:p>
    <w:bookmarkStart w:id="836" w:name="P836"/>
    <w:bookmarkEnd w:id="836"/>
    <w:p>
      <w:pPr>
        <w:pStyle w:val="0"/>
        <w:spacing w:before="240" w:lineRule="auto"/>
        <w:ind w:firstLine="540"/>
        <w:jc w:val="both"/>
      </w:pPr>
      <w:r>
        <w:rPr>
          <w:sz w:val="24"/>
        </w:rPr>
        <w:t xml:space="preserve">&lt;24&gt; Указывается масса отходов, утилизированных в предыдущем отчетном периоде сверх норматива утилизации (М</w:t>
      </w:r>
      <w:r>
        <w:rPr>
          <w:sz w:val="24"/>
          <w:vertAlign w:val="subscript"/>
        </w:rPr>
        <w:t xml:space="preserve">пред.уп.</w:t>
      </w:r>
      <w:r>
        <w:rPr>
          <w:sz w:val="24"/>
        </w:rPr>
        <w:t xml:space="preserve">), на основании сведений, содержащихся в отчетности о выполнении самостоятельной утилизации отходов от использования товаров за предыдущий отчетный период. В случае отсутствия таких данных в строке </w:t>
      </w:r>
      <w:hyperlink w:history="0" w:anchor="P765" w:tooltip="17">
        <w:r>
          <w:rPr>
            <w:sz w:val="24"/>
            <w:color w:val="0000ff"/>
          </w:rPr>
          <w:t xml:space="preserve">графы 17</w:t>
        </w:r>
      </w:hyperlink>
      <w:r>
        <w:rPr>
          <w:sz w:val="24"/>
        </w:rPr>
        <w:t xml:space="preserve"> ставится значение "0".</w:t>
      </w:r>
    </w:p>
    <w:bookmarkStart w:id="837" w:name="P837"/>
    <w:bookmarkEnd w:id="837"/>
    <w:p>
      <w:pPr>
        <w:pStyle w:val="0"/>
        <w:spacing w:before="240" w:lineRule="auto"/>
        <w:ind w:firstLine="540"/>
        <w:jc w:val="both"/>
      </w:pPr>
      <w:r>
        <w:rPr>
          <w:sz w:val="24"/>
        </w:rPr>
        <w:t xml:space="preserve">&lt;25&gt; Указывается масса утилизированных отходов, засчитываемая в счет выполнения норматива утилизации в отчетном периоде (М</w:t>
      </w:r>
      <w:r>
        <w:rPr>
          <w:sz w:val="24"/>
          <w:vertAlign w:val="subscript"/>
        </w:rPr>
        <w:t xml:space="preserve">засч.уп.</w:t>
      </w:r>
      <w:r>
        <w:rPr>
          <w:sz w:val="24"/>
        </w:rPr>
        <w:t xml:space="preserve">), определяется как разница между суммой значений М</w:t>
      </w:r>
      <w:r>
        <w:rPr>
          <w:sz w:val="24"/>
          <w:vertAlign w:val="subscript"/>
        </w:rPr>
        <w:t xml:space="preserve">ут.уп.</w:t>
      </w:r>
      <w:r>
        <w:rPr>
          <w:sz w:val="24"/>
        </w:rPr>
        <w:t xml:space="preserve"> </w:t>
      </w:r>
      <w:hyperlink w:history="0" w:anchor="P714" w:tooltip="8">
        <w:r>
          <w:rPr>
            <w:sz w:val="24"/>
            <w:color w:val="0000ff"/>
          </w:rPr>
          <w:t xml:space="preserve">(графа 8)</w:t>
        </w:r>
      </w:hyperlink>
      <w:r>
        <w:rPr>
          <w:sz w:val="24"/>
        </w:rPr>
        <w:t xml:space="preserve"> с М</w:t>
      </w:r>
      <w:r>
        <w:rPr>
          <w:sz w:val="24"/>
          <w:vertAlign w:val="subscript"/>
        </w:rPr>
        <w:t xml:space="preserve">пред.уп.</w:t>
      </w:r>
      <w:r>
        <w:rPr>
          <w:sz w:val="24"/>
        </w:rPr>
        <w:t xml:space="preserve"> </w:t>
      </w:r>
      <w:hyperlink w:history="0" w:anchor="P765" w:tooltip="17">
        <w:r>
          <w:rPr>
            <w:sz w:val="24"/>
            <w:color w:val="0000ff"/>
          </w:rPr>
          <w:t xml:space="preserve">(графа 17)</w:t>
        </w:r>
      </w:hyperlink>
      <w:r>
        <w:rPr>
          <w:sz w:val="24"/>
        </w:rPr>
        <w:t xml:space="preserve"> и М</w:t>
      </w:r>
      <w:r>
        <w:rPr>
          <w:sz w:val="24"/>
          <w:vertAlign w:val="subscript"/>
        </w:rPr>
        <w:t xml:space="preserve">подл.ут.уп.</w:t>
      </w:r>
      <w:r>
        <w:rPr>
          <w:sz w:val="24"/>
        </w:rPr>
        <w:t xml:space="preserve"> </w:t>
      </w:r>
      <w:hyperlink w:history="0" w:anchor="P713" w:tooltip="7">
        <w:r>
          <w:rPr>
            <w:sz w:val="24"/>
            <w:color w:val="0000ff"/>
          </w:rPr>
          <w:t xml:space="preserve">(графа 7)</w:t>
        </w:r>
      </w:hyperlink>
      <w:r>
        <w:rPr>
          <w:sz w:val="24"/>
        </w:rPr>
        <w:t xml:space="preserve">.</w:t>
      </w:r>
    </w:p>
    <w:p>
      <w:pPr>
        <w:pStyle w:val="0"/>
        <w:spacing w:before="240" w:lineRule="auto"/>
        <w:ind w:firstLine="540"/>
        <w:jc w:val="both"/>
      </w:pPr>
      <w:r>
        <w:rPr>
          <w:sz w:val="24"/>
        </w:rPr>
        <w:t xml:space="preserve">В случае если полученное значение М</w:t>
      </w:r>
      <w:r>
        <w:rPr>
          <w:sz w:val="24"/>
          <w:vertAlign w:val="subscript"/>
        </w:rPr>
        <w:t xml:space="preserve">засч.уп.</w:t>
      </w:r>
      <w:r>
        <w:rPr>
          <w:sz w:val="24"/>
        </w:rPr>
        <w:t xml:space="preserve"> больше значения "0", в строке </w:t>
      </w:r>
      <w:hyperlink w:history="0" w:anchor="P766" w:tooltip="18">
        <w:r>
          <w:rPr>
            <w:sz w:val="24"/>
            <w:color w:val="0000ff"/>
          </w:rPr>
          <w:t xml:space="preserve">графы 18</w:t>
        </w:r>
      </w:hyperlink>
      <w:r>
        <w:rPr>
          <w:sz w:val="24"/>
        </w:rPr>
        <w:t xml:space="preserve"> ставится значение, равное М</w:t>
      </w:r>
      <w:r>
        <w:rPr>
          <w:sz w:val="24"/>
          <w:vertAlign w:val="subscript"/>
        </w:rPr>
        <w:t xml:space="preserve">подл.ут.уп.</w:t>
      </w:r>
      <w:r>
        <w:rPr>
          <w:sz w:val="24"/>
        </w:rPr>
        <w:t xml:space="preserve"> </w:t>
      </w:r>
      <w:hyperlink w:history="0" w:anchor="P713" w:tooltip="7">
        <w:r>
          <w:rPr>
            <w:sz w:val="24"/>
            <w:color w:val="0000ff"/>
          </w:rPr>
          <w:t xml:space="preserve">(графа 7)</w:t>
        </w:r>
      </w:hyperlink>
      <w:r>
        <w:rPr>
          <w:sz w:val="24"/>
        </w:rPr>
        <w:t xml:space="preserve">.</w:t>
      </w:r>
    </w:p>
    <w:p>
      <w:pPr>
        <w:pStyle w:val="0"/>
        <w:spacing w:before="240" w:lineRule="auto"/>
        <w:ind w:firstLine="540"/>
        <w:jc w:val="both"/>
      </w:pPr>
      <w:r>
        <w:rPr>
          <w:sz w:val="24"/>
        </w:rPr>
        <w:t xml:space="preserve">В случае если полученное значение М</w:t>
      </w:r>
      <w:r>
        <w:rPr>
          <w:sz w:val="24"/>
          <w:vertAlign w:val="subscript"/>
        </w:rPr>
        <w:t xml:space="preserve">засч.уп.</w:t>
      </w:r>
      <w:r>
        <w:rPr>
          <w:sz w:val="24"/>
        </w:rPr>
        <w:t xml:space="preserve"> меньше значения "0", в строке </w:t>
      </w:r>
      <w:hyperlink w:history="0" w:anchor="P766" w:tooltip="18">
        <w:r>
          <w:rPr>
            <w:sz w:val="24"/>
            <w:color w:val="0000ff"/>
          </w:rPr>
          <w:t xml:space="preserve">графы 18</w:t>
        </w:r>
      </w:hyperlink>
      <w:r>
        <w:rPr>
          <w:sz w:val="24"/>
        </w:rPr>
        <w:t xml:space="preserve"> ставится значение, равное сумме значений М</w:t>
      </w:r>
      <w:r>
        <w:rPr>
          <w:sz w:val="24"/>
          <w:vertAlign w:val="subscript"/>
        </w:rPr>
        <w:t xml:space="preserve">ут.уп.</w:t>
      </w:r>
      <w:r>
        <w:rPr>
          <w:sz w:val="24"/>
        </w:rPr>
        <w:t xml:space="preserve"> </w:t>
      </w:r>
      <w:hyperlink w:history="0" w:anchor="P714" w:tooltip="8">
        <w:r>
          <w:rPr>
            <w:sz w:val="24"/>
            <w:color w:val="0000ff"/>
          </w:rPr>
          <w:t xml:space="preserve">(графа 8)</w:t>
        </w:r>
      </w:hyperlink>
      <w:r>
        <w:rPr>
          <w:sz w:val="24"/>
        </w:rPr>
        <w:t xml:space="preserve"> и М</w:t>
      </w:r>
      <w:r>
        <w:rPr>
          <w:sz w:val="24"/>
          <w:vertAlign w:val="subscript"/>
        </w:rPr>
        <w:t xml:space="preserve">пред.уп.</w:t>
      </w:r>
      <w:r>
        <w:rPr>
          <w:sz w:val="24"/>
        </w:rPr>
        <w:t xml:space="preserve"> </w:t>
      </w:r>
      <w:hyperlink w:history="0" w:anchor="P765" w:tooltip="17">
        <w:r>
          <w:rPr>
            <w:sz w:val="24"/>
            <w:color w:val="0000ff"/>
          </w:rPr>
          <w:t xml:space="preserve">(графа 17)</w:t>
        </w:r>
      </w:hyperlink>
      <w:r>
        <w:rPr>
          <w:sz w:val="24"/>
        </w:rPr>
        <w:t xml:space="preserve">.</w:t>
      </w:r>
    </w:p>
    <w:p>
      <w:pPr>
        <w:pStyle w:val="0"/>
        <w:spacing w:before="240" w:lineRule="auto"/>
        <w:ind w:firstLine="540"/>
        <w:jc w:val="both"/>
      </w:pPr>
      <w:r>
        <w:rPr>
          <w:sz w:val="24"/>
        </w:rPr>
        <w:t xml:space="preserve">Строка </w:t>
      </w:r>
      <w:hyperlink w:history="0" w:anchor="P766" w:tooltip="18">
        <w:r>
          <w:rPr>
            <w:sz w:val="24"/>
            <w:color w:val="0000ff"/>
          </w:rPr>
          <w:t xml:space="preserve">графы 18</w:t>
        </w:r>
      </w:hyperlink>
      <w:r>
        <w:rPr>
          <w:sz w:val="24"/>
        </w:rPr>
        <w:t xml:space="preserve"> заполняется автоматически при использовании интерактивных форм отчетности.</w:t>
      </w:r>
    </w:p>
    <w:bookmarkStart w:id="841" w:name="P841"/>
    <w:bookmarkEnd w:id="841"/>
    <w:p>
      <w:pPr>
        <w:pStyle w:val="0"/>
        <w:spacing w:before="240" w:lineRule="auto"/>
        <w:ind w:firstLine="540"/>
        <w:jc w:val="both"/>
      </w:pPr>
      <w:r>
        <w:rPr>
          <w:sz w:val="24"/>
        </w:rPr>
        <w:t xml:space="preserve">&lt;26&gt; Указывается масса отходов, утилизированных в отчетном периоде сверх норматива утилизации, для учета при выполнении норматива утилизации в будущем отчетном периоде (М</w:t>
      </w:r>
      <w:r>
        <w:rPr>
          <w:sz w:val="24"/>
          <w:vertAlign w:val="subscript"/>
        </w:rPr>
        <w:t xml:space="preserve">буд.уп.</w:t>
      </w:r>
      <w:r>
        <w:rPr>
          <w:sz w:val="24"/>
        </w:rPr>
        <w:t xml:space="preserve">), определяется как разница между значениями М</w:t>
      </w:r>
      <w:r>
        <w:rPr>
          <w:sz w:val="24"/>
          <w:vertAlign w:val="subscript"/>
        </w:rPr>
        <w:t xml:space="preserve">ут.уп.</w:t>
      </w:r>
      <w:r>
        <w:rPr>
          <w:sz w:val="24"/>
        </w:rPr>
        <w:t xml:space="preserve"> </w:t>
      </w:r>
      <w:hyperlink w:history="0" w:anchor="P714" w:tooltip="8">
        <w:r>
          <w:rPr>
            <w:sz w:val="24"/>
            <w:color w:val="0000ff"/>
          </w:rPr>
          <w:t xml:space="preserve">(графа 8)</w:t>
        </w:r>
      </w:hyperlink>
      <w:r>
        <w:rPr>
          <w:sz w:val="24"/>
        </w:rPr>
        <w:t xml:space="preserve"> и М</w:t>
      </w:r>
      <w:r>
        <w:rPr>
          <w:sz w:val="24"/>
          <w:vertAlign w:val="subscript"/>
        </w:rPr>
        <w:t xml:space="preserve">подл.ут.уп.</w:t>
      </w:r>
      <w:r>
        <w:rPr>
          <w:sz w:val="24"/>
        </w:rPr>
        <w:t xml:space="preserve"> </w:t>
      </w:r>
      <w:hyperlink w:history="0" w:anchor="P713" w:tooltip="7">
        <w:r>
          <w:rPr>
            <w:sz w:val="24"/>
            <w:color w:val="0000ff"/>
          </w:rPr>
          <w:t xml:space="preserve">(графа 7)</w:t>
        </w:r>
      </w:hyperlink>
      <w:r>
        <w:rPr>
          <w:sz w:val="24"/>
        </w:rPr>
        <w:t xml:space="preserve">.</w:t>
      </w:r>
    </w:p>
    <w:p>
      <w:pPr>
        <w:pStyle w:val="0"/>
        <w:spacing w:before="240" w:lineRule="auto"/>
        <w:ind w:firstLine="540"/>
        <w:jc w:val="both"/>
      </w:pPr>
      <w:r>
        <w:rPr>
          <w:sz w:val="24"/>
        </w:rPr>
        <w:t xml:space="preserve">В случае если полученное значение М</w:t>
      </w:r>
      <w:r>
        <w:rPr>
          <w:sz w:val="24"/>
          <w:vertAlign w:val="subscript"/>
        </w:rPr>
        <w:t xml:space="preserve">буд.уп.</w:t>
      </w:r>
      <w:r>
        <w:rPr>
          <w:sz w:val="24"/>
        </w:rPr>
        <w:t xml:space="preserve"> меньше значения "0", в строке </w:t>
      </w:r>
      <w:hyperlink w:history="0" w:anchor="P767" w:tooltip="19">
        <w:r>
          <w:rPr>
            <w:sz w:val="24"/>
            <w:color w:val="0000ff"/>
          </w:rPr>
          <w:t xml:space="preserve">графы 19</w:t>
        </w:r>
      </w:hyperlink>
      <w:r>
        <w:rPr>
          <w:sz w:val="24"/>
        </w:rPr>
        <w:t xml:space="preserve"> ставится значение "0".</w:t>
      </w:r>
    </w:p>
    <w:p>
      <w:pPr>
        <w:pStyle w:val="0"/>
        <w:spacing w:before="240" w:lineRule="auto"/>
        <w:ind w:firstLine="540"/>
        <w:jc w:val="both"/>
      </w:pPr>
      <w:r>
        <w:rPr>
          <w:sz w:val="24"/>
        </w:rPr>
        <w:t xml:space="preserve">Строка </w:t>
      </w:r>
      <w:hyperlink w:history="0" w:anchor="P767" w:tooltip="19">
        <w:r>
          <w:rPr>
            <w:sz w:val="24"/>
            <w:color w:val="0000ff"/>
          </w:rPr>
          <w:t xml:space="preserve">графы 19</w:t>
        </w:r>
      </w:hyperlink>
      <w:r>
        <w:rPr>
          <w:sz w:val="24"/>
        </w:rPr>
        <w:t xml:space="preserve"> заполняется автоматически при использовании интерактивных форм отчетности.</w:t>
      </w:r>
    </w:p>
    <w:bookmarkStart w:id="844" w:name="P844"/>
    <w:bookmarkEnd w:id="844"/>
    <w:p>
      <w:pPr>
        <w:pStyle w:val="0"/>
        <w:spacing w:before="240" w:lineRule="auto"/>
        <w:ind w:firstLine="540"/>
        <w:jc w:val="both"/>
      </w:pPr>
      <w:r>
        <w:rPr>
          <w:sz w:val="24"/>
        </w:rPr>
        <w:t xml:space="preserve">&lt;27&gt; Указывается масса отходов, за которые необходимо уплатить экологический сбор (М</w:t>
      </w:r>
      <w:r>
        <w:rPr>
          <w:sz w:val="24"/>
          <w:vertAlign w:val="subscript"/>
        </w:rPr>
        <w:t xml:space="preserve">эс.уп.</w:t>
      </w:r>
      <w:r>
        <w:rPr>
          <w:sz w:val="24"/>
        </w:rPr>
        <w:t xml:space="preserve">), определяемая как разница между значением М</w:t>
      </w:r>
      <w:r>
        <w:rPr>
          <w:sz w:val="24"/>
          <w:vertAlign w:val="subscript"/>
        </w:rPr>
        <w:t xml:space="preserve">подл.ут.уп.</w:t>
      </w:r>
      <w:r>
        <w:rPr>
          <w:sz w:val="24"/>
        </w:rPr>
        <w:t xml:space="preserve"> </w:t>
      </w:r>
      <w:hyperlink w:history="0" w:anchor="P713" w:tooltip="7">
        <w:r>
          <w:rPr>
            <w:sz w:val="24"/>
            <w:color w:val="0000ff"/>
          </w:rPr>
          <w:t xml:space="preserve">(графа 7)</w:t>
        </w:r>
      </w:hyperlink>
      <w:r>
        <w:rPr>
          <w:sz w:val="24"/>
        </w:rPr>
        <w:t xml:space="preserve"> и значением М</w:t>
      </w:r>
      <w:r>
        <w:rPr>
          <w:sz w:val="24"/>
          <w:vertAlign w:val="subscript"/>
        </w:rPr>
        <w:t xml:space="preserve">засч.уп.</w:t>
      </w:r>
      <w:r>
        <w:rPr>
          <w:sz w:val="24"/>
        </w:rPr>
        <w:t xml:space="preserve"> </w:t>
      </w:r>
      <w:hyperlink w:history="0" w:anchor="P766" w:tooltip="18">
        <w:r>
          <w:rPr>
            <w:sz w:val="24"/>
            <w:color w:val="0000ff"/>
          </w:rPr>
          <w:t xml:space="preserve">(графа 18)</w:t>
        </w:r>
      </w:hyperlink>
      <w:r>
        <w:rPr>
          <w:sz w:val="24"/>
        </w:rPr>
        <w:t xml:space="preserve">.</w:t>
      </w:r>
    </w:p>
    <w:p>
      <w:pPr>
        <w:pStyle w:val="0"/>
        <w:spacing w:before="240" w:lineRule="auto"/>
        <w:ind w:firstLine="540"/>
        <w:jc w:val="both"/>
      </w:pPr>
      <w:r>
        <w:rPr>
          <w:sz w:val="24"/>
        </w:rPr>
        <w:t xml:space="preserve">В случае если полученное значение М</w:t>
      </w:r>
      <w:r>
        <w:rPr>
          <w:sz w:val="24"/>
          <w:vertAlign w:val="subscript"/>
        </w:rPr>
        <w:t xml:space="preserve">эс.уп.</w:t>
      </w:r>
      <w:r>
        <w:rPr>
          <w:sz w:val="24"/>
        </w:rPr>
        <w:t xml:space="preserve"> меньше значения "0", в строке </w:t>
      </w:r>
      <w:hyperlink w:history="0" w:anchor="P768" w:tooltip="20">
        <w:r>
          <w:rPr>
            <w:sz w:val="24"/>
            <w:color w:val="0000ff"/>
          </w:rPr>
          <w:t xml:space="preserve">графы 20</w:t>
        </w:r>
      </w:hyperlink>
      <w:r>
        <w:rPr>
          <w:sz w:val="24"/>
        </w:rPr>
        <w:t xml:space="preserve"> ставится значение "0".</w:t>
      </w:r>
    </w:p>
    <w:bookmarkStart w:id="846" w:name="P846"/>
    <w:bookmarkEnd w:id="846"/>
    <w:p>
      <w:pPr>
        <w:pStyle w:val="0"/>
        <w:spacing w:before="240" w:lineRule="auto"/>
        <w:ind w:firstLine="540"/>
        <w:jc w:val="both"/>
      </w:pPr>
      <w:r>
        <w:rPr>
          <w:sz w:val="24"/>
        </w:rPr>
        <w:t xml:space="preserve">&lt;28&gt; Импортер товара, упаковки прилагает:</w:t>
      </w:r>
    </w:p>
    <w:p>
      <w:pPr>
        <w:pStyle w:val="0"/>
        <w:spacing w:before="240" w:lineRule="auto"/>
        <w:ind w:firstLine="540"/>
        <w:jc w:val="both"/>
      </w:pPr>
      <w:r>
        <w:rPr>
          <w:sz w:val="24"/>
        </w:rPr>
        <w:t xml:space="preserve">при организации собственных объектов по утилизации отходов от использования товара, упаковки непосредственно самим импортером товара, упаковки - копии актов утилизации отходов;</w:t>
      </w:r>
    </w:p>
    <w:p>
      <w:pPr>
        <w:pStyle w:val="0"/>
        <w:spacing w:before="240" w:lineRule="auto"/>
        <w:ind w:firstLine="540"/>
        <w:jc w:val="both"/>
      </w:pPr>
      <w:r>
        <w:rPr>
          <w:sz w:val="24"/>
        </w:rPr>
        <w:t xml:space="preserve">при заключении договоров с утилизаторами - копии договоров с утилизаторами и копии актов утилизации отходов;</w:t>
      </w:r>
    </w:p>
    <w:p>
      <w:pPr>
        <w:pStyle w:val="0"/>
        <w:spacing w:before="240" w:lineRule="auto"/>
        <w:ind w:firstLine="540"/>
        <w:jc w:val="both"/>
      </w:pPr>
      <w:r>
        <w:rPr>
          <w:sz w:val="24"/>
        </w:rPr>
        <w:t xml:space="preserve">копии иных документов по усмотрению импортера товара, упаковки.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01.06.2024 N 750</w:t>
            <w:br/>
            <w:t>(ред. от 30.12.2025)</w:t>
            <w:br/>
            <w:t>"О проведении эксперимента в отношении отдельных...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01.06.2024 N 750</w:t>
            <w:br/>
            <w:t>(ред. от 30.12.2025)</w:t>
            <w:br/>
            <w:t>"О проведении эксперимента в отношении отдельных...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01.06.2024 N 750
(ред. от 30.12.2025)
"О проведении эксперимента в отношении отдельных групп товаров, в том числе товаров в упаковке"
(вместе с "Положением о проведении эксперимента в отношении отдельных групп товаров, в том числе товаров в упаковке")</dc:title>
  <dcterms:created xsi:type="dcterms:W3CDTF">2026-08-18T05:41:11Z</dcterms:created>
</cp:coreProperties>
</file>